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 xml:space="preserve">BOĞAZİÇİ ÜNİVERSİTESİ İNOVASYON VE REKABET ODAKLI </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 xml:space="preserve">KALKINMA ÇALIŞMALARI UYGULAMA VE ARAŞTIRMA </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 YÖNETMELİĞİ</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BİRİNCİ BÖLÜM</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Amaç, Kapsam, Dayanak ve Tanımlar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Amaç</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 – </w:t>
      </w:r>
      <w:r w:rsidRPr="00F22E0F">
        <w:rPr>
          <w:rFonts w:ascii="Trebuchet MS" w:eastAsia="ヒラギノ明朝 Pro W3" w:hAnsi="Trebuchet MS" w:cs="Times New Roman"/>
          <w:sz w:val="20"/>
          <w:szCs w:val="20"/>
        </w:rPr>
        <w:t>(1) Bu Yönetmeliğin amacı; Boğaziçi Üniversitesi Rektörlüğüne bağlı olarak kurulan Boğaziçi Üniversitesi İnovasyon ve Rekabet Odaklı Kalkınma Çalışmaları Uygulama ve Araştırma Merkezinin amaçlarına, faaliyet alanlarına, yönetim organlarına, yönetim organlarının görevlerine ve çalışma şekline ilişkin usul ve esasları düzenlemektir.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Kapsam</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2 – </w:t>
      </w:r>
      <w:r w:rsidRPr="00F22E0F">
        <w:rPr>
          <w:rFonts w:ascii="Trebuchet MS" w:eastAsia="ヒラギノ明朝 Pro W3" w:hAnsi="Trebuchet MS" w:cs="Times New Roman"/>
          <w:sz w:val="20"/>
          <w:szCs w:val="20"/>
        </w:rPr>
        <w:t>(1) Bu Yönetmelik; Boğaziçi Üniversitesi İnovasyon ve Rekabet Odaklı Kalkınma Çalışmaları Uygulama ve Araştırma Merkezinin amaçlarına, faaliyet alanlarına, yönetim organlarına, yönetim organlarının görevlerine ve çalışma şekline ilişkin hükümleri kapsar.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 xml:space="preserve">Dayanak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3 – </w:t>
      </w:r>
      <w:r w:rsidRPr="00F22E0F">
        <w:rPr>
          <w:rFonts w:ascii="Trebuchet MS" w:eastAsia="ヒラギノ明朝 Pro W3" w:hAnsi="Trebuchet MS" w:cs="Times New Roman"/>
          <w:sz w:val="20"/>
          <w:szCs w:val="20"/>
        </w:rPr>
        <w:t xml:space="preserve">(1) Bu Yönetmelik; </w:t>
      </w:r>
      <w:proofErr w:type="gramStart"/>
      <w:r w:rsidRPr="00F22E0F">
        <w:rPr>
          <w:rFonts w:ascii="Trebuchet MS" w:eastAsia="ヒラギノ明朝 Pro W3" w:hAnsi="Trebuchet MS" w:cs="Times New Roman"/>
          <w:sz w:val="20"/>
          <w:szCs w:val="20"/>
        </w:rPr>
        <w:t>4/11/1981</w:t>
      </w:r>
      <w:proofErr w:type="gramEnd"/>
      <w:r w:rsidRPr="00F22E0F">
        <w:rPr>
          <w:rFonts w:ascii="Trebuchet MS" w:eastAsia="ヒラギノ明朝 Pro W3" w:hAnsi="Trebuchet MS" w:cs="Times New Roman"/>
          <w:sz w:val="20"/>
          <w:szCs w:val="20"/>
        </w:rPr>
        <w:t xml:space="preserve"> tarihli ve 2547 sayılı Yükseköğretim Kanununun 7 nci maddesinin birinci fıkrasının (d) bendinin (2) numaralı alt bendi ile 14 üncü maddesine dayanılarak hazırlanmıştır.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Tanımlar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4 – </w:t>
      </w:r>
      <w:r w:rsidRPr="00F22E0F">
        <w:rPr>
          <w:rFonts w:ascii="Trebuchet MS" w:eastAsia="ヒラギノ明朝 Pro W3" w:hAnsi="Trebuchet MS" w:cs="Times New Roman"/>
          <w:sz w:val="20"/>
          <w:szCs w:val="20"/>
        </w:rPr>
        <w:t>(1) Bu Yönetmelikte geçen;</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a) Danışma Kurulu: Merkezin Danışma Kurulunu,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b) Merkez: Boğaziçi Üniversitesi İnovasyon ve Rekabet Odaklı Kalkınma Çalışmaları Uygulama ve Araştırma Merkezini,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c) Müdür: Merkezin Müdürünü,</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ç) Rektör: Boğaziçi Üniversitesi Rektörünü,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d) Üniversite: Boğaziçi Üniversitesini,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e) Yönetim Kurulu: Merkezin Yönetim Kurulunu</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proofErr w:type="gramStart"/>
      <w:r w:rsidRPr="00F22E0F">
        <w:rPr>
          <w:rFonts w:ascii="Trebuchet MS" w:eastAsia="ヒラギノ明朝 Pro W3" w:hAnsi="Trebuchet MS" w:cs="Times New Roman"/>
          <w:sz w:val="20"/>
          <w:szCs w:val="20"/>
        </w:rPr>
        <w:t>ifade</w:t>
      </w:r>
      <w:proofErr w:type="gramEnd"/>
      <w:r w:rsidRPr="00F22E0F">
        <w:rPr>
          <w:rFonts w:ascii="Trebuchet MS" w:eastAsia="ヒラギノ明朝 Pro W3" w:hAnsi="Trebuchet MS" w:cs="Times New Roman"/>
          <w:sz w:val="20"/>
          <w:szCs w:val="20"/>
        </w:rPr>
        <w:t xml:space="preserve"> eder.</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İKİNCİ BÖLÜM</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Merkezin Amacı ve Faaliyet Alanları</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Merkezin amacı</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5 – </w:t>
      </w:r>
      <w:r w:rsidRPr="00F22E0F">
        <w:rPr>
          <w:rFonts w:ascii="Trebuchet MS" w:eastAsia="ヒラギノ明朝 Pro W3" w:hAnsi="Trebuchet MS" w:cs="Times New Roman"/>
          <w:sz w:val="20"/>
          <w:szCs w:val="20"/>
        </w:rPr>
        <w:t>(1) Merkezin amaçları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Dönüşüm-inovasyon eksenli bilgi toplumuna geçişte disiplinlerarası araştırma, uygulama ve politika geliştirme çalışmaları için ortak bir platform oluşturmak,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b) Küresel büyümenin itici gücü olan bilgi ve inovasyon odaklı rekabetçiliği ulusal tabana yaymak,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c) İnovasyon, değişim ve dönüşüme öncülük eden faktörleri takip etmek, bu alanlarda analitik ve </w:t>
      </w:r>
      <w:proofErr w:type="gramStart"/>
      <w:r w:rsidRPr="00F22E0F">
        <w:rPr>
          <w:rFonts w:ascii="Trebuchet MS" w:eastAsia="ヒラギノ明朝 Pro W3" w:hAnsi="Trebuchet MS" w:cs="Times New Roman"/>
          <w:sz w:val="20"/>
          <w:szCs w:val="20"/>
        </w:rPr>
        <w:t>ampirik</w:t>
      </w:r>
      <w:proofErr w:type="gramEnd"/>
      <w:r w:rsidRPr="00F22E0F">
        <w:rPr>
          <w:rFonts w:ascii="Trebuchet MS" w:eastAsia="ヒラギノ明朝 Pro W3" w:hAnsi="Trebuchet MS" w:cs="Times New Roman"/>
          <w:sz w:val="20"/>
          <w:szCs w:val="20"/>
        </w:rPr>
        <w:t xml:space="preserve"> projeler üretmek, ulusal ve uluslararası referans olmak,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ç) Bölgesel kalkınmaya yönelik ekonomik ve sosyal kalkınma alanlarında disiplinler arası araştırmalar yapmak ve bölgesel kalkınma ajansları işbirliği ile yaygın etkiyi sağlamak,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lastRenderedPageBreak/>
        <w:t>d) İnovasyon, rekabet ve kalkınma alanlarında bölgesel, ulusal ve uluslararası ilgili kurumlarla işbirliği yapmak.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Merkezin faaliyet alanları</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6 – </w:t>
      </w:r>
      <w:r w:rsidRPr="00F22E0F">
        <w:rPr>
          <w:rFonts w:ascii="Trebuchet MS" w:eastAsia="ヒラギノ明朝 Pro W3" w:hAnsi="Trebuchet MS" w:cs="Times New Roman"/>
          <w:sz w:val="20"/>
          <w:szCs w:val="20"/>
        </w:rPr>
        <w:t>(1) Merkezin faaliyet alanları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Bilgi toplumuna geçiş sürecinde rekabetçilik ve kalkınma odaklı disiplinlerarası çalışmalar yaparak inovasyon eksenli çözüm önerileri geliştirmek,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b) Kentsel ve bölgesel kümelenme stratejileri oluşturmak ve sektörel katma değer yaratmak,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c) Küresel ticaret dinamikleri çerçevesinde ulusal ve bölgesel dış ticaret rekabet stratejileri ve politika önerileri geliştirmek,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ç) Sektörel düzeyde küresel değer zinciri </w:t>
      </w:r>
      <w:proofErr w:type="gramStart"/>
      <w:r w:rsidRPr="00F22E0F">
        <w:rPr>
          <w:rFonts w:ascii="Trebuchet MS" w:eastAsia="ヒラギノ明朝 Pro W3" w:hAnsi="Trebuchet MS" w:cs="Times New Roman"/>
          <w:sz w:val="20"/>
          <w:szCs w:val="20"/>
        </w:rPr>
        <w:t>ve  tedarik</w:t>
      </w:r>
      <w:proofErr w:type="gramEnd"/>
      <w:r w:rsidRPr="00F22E0F">
        <w:rPr>
          <w:rFonts w:ascii="Trebuchet MS" w:eastAsia="ヒラギノ明朝 Pro W3" w:hAnsi="Trebuchet MS" w:cs="Times New Roman"/>
          <w:sz w:val="20"/>
          <w:szCs w:val="20"/>
        </w:rPr>
        <w:t xml:space="preserve"> zinciri yapılarını inceleyerek rekabet gücünü artıracak yapılanma önerileri geliştirmek ve paydaşlarla sonuçları paylaşmak,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d) Sürdürülebilir ekonomik kalkınmanın temel unsurlarından biri olan küçük ve orta boyutlu işletmelerin rekabet üstünlüğünü sağlamak ve kalıcı kılmak için girişimciliği ve yenilikçi düşünce sistemini saha araştırmaları ve eğitim ile yaygınlaştırmak,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e) Gelişmiş ve gelişmekte olan sektörler ve bölgeler için kıyaslama (</w:t>
      </w:r>
      <w:proofErr w:type="gramStart"/>
      <w:r w:rsidRPr="00F22E0F">
        <w:rPr>
          <w:rFonts w:ascii="Trebuchet MS" w:eastAsia="ヒラギノ明朝 Pro W3" w:hAnsi="Trebuchet MS" w:cs="Times New Roman"/>
          <w:sz w:val="20"/>
          <w:szCs w:val="20"/>
        </w:rPr>
        <w:t>benchmarking</w:t>
      </w:r>
      <w:proofErr w:type="gramEnd"/>
      <w:r w:rsidRPr="00F22E0F">
        <w:rPr>
          <w:rFonts w:ascii="Trebuchet MS" w:eastAsia="ヒラギノ明朝 Pro W3" w:hAnsi="Trebuchet MS" w:cs="Times New Roman"/>
          <w:sz w:val="20"/>
          <w:szCs w:val="20"/>
        </w:rPr>
        <w:t>) analizleri yaparak mevcut durumu ve en iyi uygulamaları belirlemek, kalkınmaya yönelik politikalar üretmek ve sonuçlarını paydaşlarla paylaşmak,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f) Uluslararası </w:t>
      </w:r>
      <w:proofErr w:type="gramStart"/>
      <w:r w:rsidRPr="00F22E0F">
        <w:rPr>
          <w:rFonts w:ascii="Trebuchet MS" w:eastAsia="ヒラギノ明朝 Pro W3" w:hAnsi="Trebuchet MS" w:cs="Times New Roman"/>
          <w:sz w:val="20"/>
          <w:szCs w:val="20"/>
        </w:rPr>
        <w:t>entegrasyon</w:t>
      </w:r>
      <w:proofErr w:type="gramEnd"/>
      <w:r w:rsidRPr="00F22E0F">
        <w:rPr>
          <w:rFonts w:ascii="Trebuchet MS" w:eastAsia="ヒラギノ明朝 Pro W3" w:hAnsi="Trebuchet MS" w:cs="Times New Roman"/>
          <w:sz w:val="20"/>
          <w:szCs w:val="20"/>
        </w:rPr>
        <w:t xml:space="preserve"> sürecinde, çeşitli ülkeler ve uluslararası kuruluşlar ile inovasyon, rekabet ve kalkınma konularında projeler yapmak,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g) Azgelişmiş ülkelerin sosyo-ekonomik sorunlarını araştırmak, bilgi-teknoloji ve kalkınma kavramlarını bu ülkeler için analiz etmek,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ğ) Çalışmalar sonucu elde edilen bilgi ve bulguların toplumda yaygın etki sağlamasına yönelik faaliyetlerde bulunmak,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h) Merkezin faaliyet alanlarında ilgili kurumlara danışmanlık ve eğitim hizmeti vermek,   </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ı) Merkezin faaliyet alanlarında kamu ve özel sektöre projeler geliştirmek ve ilgili kurum ve kuruluşlarla işbirliği yapmak.</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ÜÇÜNCÜ BÖLÜM</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Merkezin Yönetim Organları, Çalışma Grupları ve Görevleri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Merkezin yönetim organları</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7 – </w:t>
      </w:r>
      <w:r w:rsidRPr="00F22E0F">
        <w:rPr>
          <w:rFonts w:ascii="Trebuchet MS" w:eastAsia="ヒラギノ明朝 Pro W3" w:hAnsi="Trebuchet MS" w:cs="Times New Roman"/>
          <w:sz w:val="20"/>
          <w:szCs w:val="20"/>
        </w:rPr>
        <w:t>(1) Merkezin yönetim organları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Müdür,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b) Yönetim Kurulu,</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c) Danışma Kurulu.</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Müdür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MADDE 8 –</w:t>
      </w:r>
      <w:r w:rsidRPr="00F22E0F">
        <w:rPr>
          <w:rFonts w:ascii="Trebuchet MS" w:eastAsia="ヒラギノ明朝 Pro W3" w:hAnsi="Trebuchet MS" w:cs="Times New Roman"/>
          <w:sz w:val="20"/>
          <w:szCs w:val="20"/>
        </w:rPr>
        <w:t xml:space="preserve"> (1) Müdür; Yönetim Kurulu üyeleri arasından Rektör tarafından üç yıl süre için görevlendirilir. Süresi biten Müdür tekrar görevlendirilebilir. Göreve </w:t>
      </w:r>
      <w:proofErr w:type="gramStart"/>
      <w:r w:rsidRPr="00F22E0F">
        <w:rPr>
          <w:rFonts w:ascii="Trebuchet MS" w:eastAsia="ヒラギノ明朝 Pro W3" w:hAnsi="Trebuchet MS" w:cs="Times New Roman"/>
          <w:sz w:val="20"/>
          <w:szCs w:val="20"/>
        </w:rPr>
        <w:t>vekalet</w:t>
      </w:r>
      <w:proofErr w:type="gramEnd"/>
      <w:r w:rsidRPr="00F22E0F">
        <w:rPr>
          <w:rFonts w:ascii="Trebuchet MS" w:eastAsia="ヒラギノ明朝 Pro W3" w:hAnsi="Trebuchet MS" w:cs="Times New Roman"/>
          <w:sz w:val="20"/>
          <w:szCs w:val="20"/>
        </w:rPr>
        <w:t xml:space="preserve"> dört aydan fazla sürerse yeni bir Müdür görevlendirilir. Müdür, Merkezin çalışmalarının düzenli olarak yürütülmesi ve geliştirilmesinden Rektöre karşı sorumludur.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(2) Müdürün, Üniversitenin tam zamanlı öğretim üyeleri arasından önereceği en az bir, en fazla iki kişi Müdür yardımcısı olarak Rektör tarafından üç yıl süre ile görevlendirilir. Müdür yardımcıları, </w:t>
      </w:r>
      <w:r w:rsidRPr="00F22E0F">
        <w:rPr>
          <w:rFonts w:ascii="Trebuchet MS" w:eastAsia="ヒラギノ明朝 Pro W3" w:hAnsi="Trebuchet MS" w:cs="Times New Roman"/>
          <w:sz w:val="20"/>
          <w:szCs w:val="20"/>
        </w:rPr>
        <w:lastRenderedPageBreak/>
        <w:t>Müdürün kendilerine vereceği görevleri yapar. Müdür, görevi başında bulunmadığı zaman yardımcılarından birisini vekil bırakır.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Müdürün görevleri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9 – </w:t>
      </w:r>
      <w:r w:rsidRPr="00F22E0F">
        <w:rPr>
          <w:rFonts w:ascii="Trebuchet MS" w:eastAsia="ヒラギノ明朝 Pro W3" w:hAnsi="Trebuchet MS" w:cs="Times New Roman"/>
          <w:sz w:val="20"/>
          <w:szCs w:val="20"/>
        </w:rPr>
        <w:t>(1) Müdürün görevleri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Merkezi temsil etmek,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b) Merkezin çalışmalarının düzenli yürütülmesini ve geliştirilmesini sağlamak,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c) Yönetim Kurulunu toplantıya çağırmak, bu toplantıların gündemini hazırlamak ve toplantılara başkanlık etmek, Yönetim Kurulu kararlarını uygulamak,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ç) Merkezin yıllık faaliyet raporunu ve bir sonraki yıla ait yıllık çalışma programını hazırlamak ve Yönetim Kurulunun onayı ile Rektörlüğe sunmak,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d) Danışma Kurulunu olağan ve olağanüstü toplantıya çağırmak.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Yönetim kurulu</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MADDE 10 –</w:t>
      </w:r>
      <w:r w:rsidRPr="00F22E0F">
        <w:rPr>
          <w:rFonts w:ascii="Trebuchet MS" w:eastAsia="ヒラギノ明朝 Pro W3" w:hAnsi="Trebuchet MS" w:cs="Times New Roman"/>
          <w:sz w:val="20"/>
          <w:szCs w:val="20"/>
        </w:rPr>
        <w:t xml:space="preserve"> (1) Yönetim Kurulu; Müdür ile en az üçü tam zamanlı olarak görev yapan Üniversite öğretim üyeleri arasından olmak üzere, Rektör tarafından üç yıl süreyle görevlendirilen en fazla beş kişiden oluşur. Süresi biten üyeler yeniden görevlendirilebilir.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(2) Yönetim Kurulu yılda en az dört kez toplanır. Yönetim Kurulu üyeleri salt çoğunlukla toplanır ve kararlar oyçokluğuyla alınır. Yönetim Kurulu tutanakları Danışma Kurulu üyelerinin incelemesine açık tutulur, ayrıca bu tutanakların birer nüshası Rektörlüğe iletilir.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Yönetim kurulunun görevleri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11 – </w:t>
      </w:r>
      <w:r w:rsidRPr="00F22E0F">
        <w:rPr>
          <w:rFonts w:ascii="Trebuchet MS" w:eastAsia="ヒラギノ明朝 Pro W3" w:hAnsi="Trebuchet MS" w:cs="Times New Roman"/>
          <w:sz w:val="20"/>
          <w:szCs w:val="20"/>
        </w:rPr>
        <w:t>(1) Yönetim Kurulunun görevleri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Merkezin çalışma ve yönetimi ile ilgili konularda kararlar almak,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b) Merkezin yıllık faaliyet raporunu ve yıllık çalışma programını görüşerek karara bağlamak ve Rektörlüğe sunmak,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c) Araştırma, yayın, öğretim ve diğer çalışma alanlarına ilişkin konularda karar almak,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ç) Merkez bünyesinde kurulacak olan bilimsel çalışma grupları ve komisyonları belirlemek,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d) Merkezin uzun vadeli bilimsel ve idari plan ve programını Rektörlüğe sunmak üzere değerlendirmek ve onaylamak.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Danışma kurulu</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MADDE 12 –</w:t>
      </w:r>
      <w:r w:rsidRPr="00F22E0F">
        <w:rPr>
          <w:rFonts w:ascii="Trebuchet MS" w:eastAsia="ヒラギノ明朝 Pro W3" w:hAnsi="Trebuchet MS" w:cs="Times New Roman"/>
          <w:sz w:val="20"/>
          <w:szCs w:val="20"/>
        </w:rPr>
        <w:t xml:space="preserve"> (1) Danışma Kurulu; Merkezin faaliyet alanlarında çalışmalarıyla Merkeze katkıda bulunabilecek, Yönetim Kurulu tarafından belirlenen, Üniversite öğretim elemanları ve istekleri halinde diğer kurum ve kuruluşların temsilcilerinden oluşur. Danışma Kurulu üyelerinin görev süresi üç yıldır. Süresi biten üyeler yeniden görevlendirilebilir.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(2) Danışma Kurulu yılda bir kez olağan olarak toplanır. Müdür gerekli gördüğü </w:t>
      </w:r>
      <w:proofErr w:type="gramStart"/>
      <w:r w:rsidRPr="00F22E0F">
        <w:rPr>
          <w:rFonts w:ascii="Trebuchet MS" w:eastAsia="ヒラギノ明朝 Pro W3" w:hAnsi="Trebuchet MS" w:cs="Times New Roman"/>
          <w:sz w:val="20"/>
          <w:szCs w:val="20"/>
        </w:rPr>
        <w:t>taktirde</w:t>
      </w:r>
      <w:proofErr w:type="gramEnd"/>
      <w:r w:rsidRPr="00F22E0F">
        <w:rPr>
          <w:rFonts w:ascii="Trebuchet MS" w:eastAsia="ヒラギノ明朝 Pro W3" w:hAnsi="Trebuchet MS" w:cs="Times New Roman"/>
          <w:sz w:val="20"/>
          <w:szCs w:val="20"/>
        </w:rPr>
        <w:t xml:space="preserve"> Danışma Kurulunu olağanüstü toplantıya çağırabilir.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Danışma kurulunun görevleri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13 – </w:t>
      </w:r>
      <w:r w:rsidRPr="00F22E0F">
        <w:rPr>
          <w:rFonts w:ascii="Trebuchet MS" w:eastAsia="ヒラギノ明朝 Pro W3" w:hAnsi="Trebuchet MS" w:cs="Times New Roman"/>
          <w:sz w:val="20"/>
          <w:szCs w:val="20"/>
        </w:rPr>
        <w:t>(1) Danışma Kurulunun görevleri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Uzun vadeli bilimsel ve idari faaliyet planlarını değerlendirerek, Yönetim Kuruluna önerilerde bulunmak,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b) Merkez çalışmalarında bilimsel ve idari açıdan bilgi, deneyim ve önerilerde bulunmak.</w:t>
      </w:r>
    </w:p>
    <w:p w:rsidR="00F22E0F" w:rsidRDefault="00F22E0F" w:rsidP="00F22E0F">
      <w:pPr>
        <w:tabs>
          <w:tab w:val="left" w:pos="566"/>
        </w:tabs>
        <w:spacing w:after="0" w:line="320" w:lineRule="atLeast"/>
        <w:ind w:firstLine="566"/>
        <w:jc w:val="both"/>
        <w:rPr>
          <w:rFonts w:ascii="Trebuchet MS" w:eastAsia="ヒラギノ明朝 Pro W3" w:hAnsi="Trebuchet MS" w:cs="Times New Roman"/>
          <w:b/>
          <w:sz w:val="20"/>
          <w:szCs w:val="20"/>
        </w:rPr>
      </w:pP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lastRenderedPageBreak/>
        <w:t>Çalışma grupları</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14 – </w:t>
      </w:r>
      <w:r w:rsidRPr="00F22E0F">
        <w:rPr>
          <w:rFonts w:ascii="Trebuchet MS" w:eastAsia="ヒラギノ明朝 Pro W3" w:hAnsi="Trebuchet MS" w:cs="Times New Roman"/>
          <w:sz w:val="20"/>
          <w:szCs w:val="20"/>
        </w:rPr>
        <w:t>(1) Çalışma grupları; araştırma, eğitim ve diğer faaliyetlerin daha hızlı ve verimli yürütülmesi ve düzenlenmesi için Yönetim Kurulu tarafından oluşturulabilir.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(2) Çalışma grubu üyeleri, Üniversitenin ilgili bölümlerinde tam zamanlı çalışan öğretim üyeleri ve ilgili kurum ve kuruluşların gönüllü adayları arasından Yönetim Kurulunca belirlenir.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 xml:space="preserve">(3) Çalışma gruplarının çalışmaları Yönetim Kurulunca değerlendirilir. </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DÖRDÜNCÜ BÖLÜM</w:t>
      </w:r>
    </w:p>
    <w:p w:rsidR="00947BD2" w:rsidRPr="00F22E0F" w:rsidRDefault="00947BD2" w:rsidP="00F22E0F">
      <w:pPr>
        <w:tabs>
          <w:tab w:val="left" w:pos="566"/>
        </w:tabs>
        <w:spacing w:after="0" w:line="320" w:lineRule="atLeast"/>
        <w:jc w:val="center"/>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Çeşitli ve Son Hükümler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Merkezin gelirleri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15 – </w:t>
      </w:r>
      <w:r w:rsidRPr="00F22E0F">
        <w:rPr>
          <w:rFonts w:ascii="Trebuchet MS" w:eastAsia="ヒラギノ明朝 Pro W3" w:hAnsi="Trebuchet MS" w:cs="Times New Roman"/>
          <w:sz w:val="20"/>
          <w:szCs w:val="20"/>
        </w:rPr>
        <w:t>(1) Merkezin gelir kaynakları şunlardır: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a) Merkezin bütçesine Üniversite bütçesinden aktarılacak ödenek,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b) Proje gelirleri,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c) Bağış ve yardımlar,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sz w:val="20"/>
          <w:szCs w:val="20"/>
        </w:rPr>
        <w:t>ç) Danışmanlık ve hizmet bedelleri.</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Personel ihtiyacı</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16 – </w:t>
      </w:r>
      <w:r w:rsidRPr="00F22E0F">
        <w:rPr>
          <w:rFonts w:ascii="Trebuchet MS" w:eastAsia="ヒラギノ明朝 Pro W3" w:hAnsi="Trebuchet MS" w:cs="Times New Roman"/>
          <w:sz w:val="20"/>
          <w:szCs w:val="20"/>
        </w:rPr>
        <w:t>(1) Merkezin akademik, teknik ve idari personel ihtiyacı, Müdürün önerisi üzerine, 2547 sayılı Kanunun 13 üncü maddesi uyarınca, Rektör tarafından görevlendirilecek personel tarafından karşılanır.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Hüküm bulunmayan haller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17 – </w:t>
      </w:r>
      <w:r w:rsidRPr="00F22E0F">
        <w:rPr>
          <w:rFonts w:ascii="Trebuchet MS" w:eastAsia="ヒラギノ明朝 Pro W3" w:hAnsi="Trebuchet MS" w:cs="Times New Roman"/>
          <w:sz w:val="20"/>
          <w:szCs w:val="20"/>
        </w:rPr>
        <w:t>(1) Bu Yönetmelikte hüküm bulunmayan hallerde, ilgili diğer mevzuat hükümleri uygulanır.</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Yürürlük</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rPr>
      </w:pPr>
      <w:r w:rsidRPr="00F22E0F">
        <w:rPr>
          <w:rFonts w:ascii="Trebuchet MS" w:eastAsia="ヒラギノ明朝 Pro W3" w:hAnsi="Trebuchet MS" w:cs="Times New Roman"/>
          <w:b/>
          <w:sz w:val="20"/>
          <w:szCs w:val="20"/>
        </w:rPr>
        <w:t xml:space="preserve">MADDE 18 – </w:t>
      </w:r>
      <w:r w:rsidRPr="00F22E0F">
        <w:rPr>
          <w:rFonts w:ascii="Trebuchet MS" w:eastAsia="ヒラギノ明朝 Pro W3" w:hAnsi="Trebuchet MS" w:cs="Times New Roman"/>
          <w:sz w:val="20"/>
          <w:szCs w:val="20"/>
        </w:rPr>
        <w:t>(1) Bu Yönetmelik yayımı tarihinde yürürlüğe girer.</w:t>
      </w:r>
      <w:r w:rsidRPr="00F22E0F">
        <w:rPr>
          <w:rFonts w:ascii="Trebuchet MS" w:eastAsia="ヒラギノ明朝 Pro W3" w:hAnsi="Trebuchet MS" w:cs="Times New Roman"/>
          <w:sz w:val="20"/>
          <w:szCs w:val="20"/>
        </w:rPr>
        <w:tab/>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b/>
          <w:sz w:val="20"/>
          <w:szCs w:val="20"/>
        </w:rPr>
      </w:pPr>
      <w:r w:rsidRPr="00F22E0F">
        <w:rPr>
          <w:rFonts w:ascii="Trebuchet MS" w:eastAsia="ヒラギノ明朝 Pro W3" w:hAnsi="Trebuchet MS" w:cs="Times New Roman"/>
          <w:b/>
          <w:sz w:val="20"/>
          <w:szCs w:val="20"/>
        </w:rPr>
        <w:t>Yürütme</w:t>
      </w:r>
    </w:p>
    <w:p w:rsidR="00947BD2" w:rsidRPr="00F22E0F" w:rsidRDefault="00947BD2" w:rsidP="00F22E0F">
      <w:pPr>
        <w:tabs>
          <w:tab w:val="left" w:pos="566"/>
        </w:tabs>
        <w:spacing w:after="0" w:line="320" w:lineRule="atLeast"/>
        <w:ind w:firstLine="566"/>
        <w:jc w:val="both"/>
        <w:rPr>
          <w:rFonts w:ascii="Trebuchet MS" w:eastAsia="ヒラギノ明朝 Pro W3" w:hAnsi="Trebuchet MS" w:cs="Times New Roman"/>
          <w:sz w:val="20"/>
          <w:szCs w:val="20"/>
          <w:lang w:val="en-GB"/>
        </w:rPr>
      </w:pPr>
      <w:r w:rsidRPr="00F22E0F">
        <w:rPr>
          <w:rFonts w:ascii="Trebuchet MS" w:eastAsia="ヒラギノ明朝 Pro W3" w:hAnsi="Trebuchet MS" w:cs="Times New Roman"/>
          <w:b/>
          <w:sz w:val="20"/>
          <w:szCs w:val="20"/>
        </w:rPr>
        <w:t xml:space="preserve">MADDE 19 – </w:t>
      </w:r>
      <w:r w:rsidRPr="00F22E0F">
        <w:rPr>
          <w:rFonts w:ascii="Trebuchet MS" w:eastAsia="ヒラギノ明朝 Pro W3" w:hAnsi="Trebuchet MS" w:cs="Times New Roman"/>
          <w:sz w:val="20"/>
          <w:szCs w:val="20"/>
        </w:rPr>
        <w:t>(1) Bu Yönetmelik hükümlerini Boğaziçi Üniversitesi Rektörü yürütür.</w:t>
      </w:r>
    </w:p>
    <w:p w:rsidR="0063401E" w:rsidRPr="00F22E0F" w:rsidRDefault="0063401E" w:rsidP="00F22E0F">
      <w:pPr>
        <w:spacing w:after="0" w:line="320" w:lineRule="atLeast"/>
        <w:rPr>
          <w:rFonts w:ascii="Trebuchet MS" w:hAnsi="Trebuchet MS"/>
          <w:sz w:val="20"/>
          <w:szCs w:val="20"/>
        </w:rPr>
      </w:pPr>
    </w:p>
    <w:sectPr w:rsidR="0063401E" w:rsidRPr="00F22E0F" w:rsidSect="006340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Trebuchet MS">
    <w:panose1 w:val="020B0603020202020204"/>
    <w:charset w:val="A2"/>
    <w:family w:val="swiss"/>
    <w:pitch w:val="variable"/>
    <w:sig w:usb0="00000287" w:usb1="00000000" w:usb2="00000000" w:usb3="00000000" w:csb0="0000009F" w:csb1="00000000"/>
  </w:font>
  <w:font w:name="ヒラギノ明朝 Pro W3">
    <w:altName w:val="MS Mincho"/>
    <w:charset w:val="80"/>
    <w:family w:val="auto"/>
    <w:pitch w:val="variable"/>
    <w:sig w:usb0="00000001" w:usb1="00000000" w:usb2="01000407" w:usb3="00000000" w:csb0="00020000"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947BD2"/>
    <w:rsid w:val="0063401E"/>
    <w:rsid w:val="006B56FA"/>
    <w:rsid w:val="00947BD2"/>
    <w:rsid w:val="00F22E0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BD2"/>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1255</Words>
  <Characters>7156</Characters>
  <Application>Microsoft Office Word</Application>
  <DocSecurity>0</DocSecurity>
  <Lines>59</Lines>
  <Paragraphs>16</Paragraphs>
  <ScaleCrop>false</ScaleCrop>
  <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GUNAY</dc:creator>
  <cp:lastModifiedBy>Apk</cp:lastModifiedBy>
  <cp:revision>2</cp:revision>
  <dcterms:created xsi:type="dcterms:W3CDTF">2011-11-21T20:04:00Z</dcterms:created>
  <dcterms:modified xsi:type="dcterms:W3CDTF">2011-11-22T07:25:00Z</dcterms:modified>
</cp:coreProperties>
</file>