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789" w:type="dxa"/>
        <w:jc w:val="center"/>
        <w:tblLook w:val="01E0" w:firstRow="1" w:lastRow="1" w:firstColumn="1" w:lastColumn="1" w:noHBand="0" w:noVBand="0"/>
      </w:tblPr>
      <w:tblGrid>
        <w:gridCol w:w="2931"/>
        <w:gridCol w:w="2931"/>
        <w:gridCol w:w="2927"/>
      </w:tblGrid>
      <w:tr w:rsidR="005631B0" w:rsidRPr="005631B0">
        <w:trPr>
          <w:trHeight w:val="317"/>
          <w:jc w:val="center"/>
        </w:trPr>
        <w:tc>
          <w:tcPr>
            <w:tcW w:w="2931" w:type="dxa"/>
            <w:tcBorders>
              <w:top w:val="nil"/>
              <w:left w:val="nil"/>
              <w:bottom w:val="single" w:sz="4" w:space="0" w:color="660066"/>
              <w:right w:val="nil"/>
            </w:tcBorders>
            <w:vAlign w:val="center"/>
            <w:hideMark/>
          </w:tcPr>
          <w:p w:rsidR="005631B0" w:rsidRPr="005631B0" w:rsidRDefault="005631B0" w:rsidP="005631B0">
            <w:pPr>
              <w:tabs>
                <w:tab w:val="left" w:pos="567"/>
                <w:tab w:val="center" w:pos="994"/>
                <w:tab w:val="center" w:pos="3543"/>
                <w:tab w:val="right" w:pos="6520"/>
              </w:tabs>
              <w:spacing w:after="0" w:line="240" w:lineRule="exact"/>
              <w:rPr>
                <w:rFonts w:ascii="Arial" w:eastAsia="Times New Roman" w:hAnsi="Arial" w:cs="Arial"/>
                <w:b/>
                <w:sz w:val="16"/>
                <w:szCs w:val="16"/>
                <w:lang w:eastAsia="tr-TR"/>
              </w:rPr>
            </w:pPr>
            <w:bookmarkStart w:id="0" w:name="_GoBack"/>
            <w:bookmarkEnd w:id="0"/>
            <w:r w:rsidRPr="005631B0">
              <w:rPr>
                <w:rFonts w:ascii="Arial" w:eastAsia="Times New Roman" w:hAnsi="Arial" w:cs="Arial"/>
                <w:sz w:val="16"/>
                <w:szCs w:val="16"/>
                <w:lang w:eastAsia="tr-TR"/>
              </w:rPr>
              <w:t xml:space="preserve">23 Kasım </w:t>
            </w:r>
            <w:proofErr w:type="gramStart"/>
            <w:r w:rsidRPr="005631B0">
              <w:rPr>
                <w:rFonts w:ascii="Arial" w:eastAsia="Times New Roman" w:hAnsi="Arial" w:cs="Arial"/>
                <w:sz w:val="16"/>
                <w:szCs w:val="16"/>
                <w:lang w:eastAsia="tr-TR"/>
              </w:rPr>
              <w:t>2014  PAZAR</w:t>
            </w:r>
            <w:proofErr w:type="gramEnd"/>
          </w:p>
        </w:tc>
        <w:tc>
          <w:tcPr>
            <w:tcW w:w="2931" w:type="dxa"/>
            <w:tcBorders>
              <w:top w:val="nil"/>
              <w:left w:val="nil"/>
              <w:bottom w:val="single" w:sz="4" w:space="0" w:color="660066"/>
              <w:right w:val="nil"/>
            </w:tcBorders>
            <w:vAlign w:val="center"/>
            <w:hideMark/>
          </w:tcPr>
          <w:p w:rsidR="005631B0" w:rsidRPr="005631B0" w:rsidRDefault="005631B0" w:rsidP="005631B0">
            <w:pPr>
              <w:tabs>
                <w:tab w:val="left" w:pos="567"/>
                <w:tab w:val="center" w:pos="994"/>
                <w:tab w:val="center" w:pos="3543"/>
                <w:tab w:val="right" w:pos="6520"/>
              </w:tabs>
              <w:spacing w:after="0" w:line="240" w:lineRule="exact"/>
              <w:jc w:val="center"/>
              <w:rPr>
                <w:rFonts w:ascii="Palatino Linotype" w:eastAsia="Times New Roman" w:hAnsi="Palatino Linotype" w:cs="Times New Roman"/>
                <w:b/>
                <w:color w:val="800080"/>
                <w:sz w:val="24"/>
                <w:szCs w:val="24"/>
                <w:lang w:eastAsia="tr-TR"/>
              </w:rPr>
            </w:pPr>
            <w:r w:rsidRPr="005631B0">
              <w:rPr>
                <w:rFonts w:ascii="Palatino Linotype" w:eastAsia="Times New Roman" w:hAnsi="Palatino Linotype" w:cs="Times New Roman"/>
                <w:b/>
                <w:color w:val="800080"/>
                <w:sz w:val="24"/>
                <w:szCs w:val="24"/>
                <w:lang w:eastAsia="tr-TR"/>
              </w:rPr>
              <w:t>Resmî Gazete</w:t>
            </w:r>
          </w:p>
        </w:tc>
        <w:tc>
          <w:tcPr>
            <w:tcW w:w="2927" w:type="dxa"/>
            <w:tcBorders>
              <w:top w:val="nil"/>
              <w:left w:val="nil"/>
              <w:bottom w:val="single" w:sz="4" w:space="0" w:color="660066"/>
              <w:right w:val="nil"/>
            </w:tcBorders>
            <w:vAlign w:val="center"/>
            <w:hideMark/>
          </w:tcPr>
          <w:p w:rsidR="005631B0" w:rsidRPr="005631B0" w:rsidRDefault="005631B0" w:rsidP="005631B0">
            <w:pPr>
              <w:spacing w:before="100" w:beforeAutospacing="1" w:after="100" w:afterAutospacing="1" w:line="240" w:lineRule="auto"/>
              <w:jc w:val="right"/>
              <w:rPr>
                <w:rFonts w:ascii="Arial" w:eastAsia="Times New Roman" w:hAnsi="Arial" w:cs="Arial"/>
                <w:sz w:val="16"/>
                <w:szCs w:val="16"/>
                <w:lang w:eastAsia="tr-TR"/>
              </w:rPr>
            </w:pPr>
            <w:proofErr w:type="gramStart"/>
            <w:r w:rsidRPr="005631B0">
              <w:rPr>
                <w:rFonts w:ascii="Arial" w:eastAsia="Times New Roman" w:hAnsi="Arial" w:cs="Arial"/>
                <w:sz w:val="16"/>
                <w:szCs w:val="16"/>
                <w:lang w:eastAsia="tr-TR"/>
              </w:rPr>
              <w:t>Sayı : 29184</w:t>
            </w:r>
            <w:proofErr w:type="gramEnd"/>
          </w:p>
        </w:tc>
      </w:tr>
      <w:tr w:rsidR="005631B0" w:rsidRPr="005631B0">
        <w:trPr>
          <w:trHeight w:val="480"/>
          <w:jc w:val="center"/>
        </w:trPr>
        <w:tc>
          <w:tcPr>
            <w:tcW w:w="8789" w:type="dxa"/>
            <w:gridSpan w:val="3"/>
            <w:vAlign w:val="center"/>
            <w:hideMark/>
          </w:tcPr>
          <w:p w:rsidR="005631B0" w:rsidRPr="005631B0" w:rsidRDefault="005631B0" w:rsidP="005631B0">
            <w:pPr>
              <w:spacing w:before="100" w:beforeAutospacing="1" w:after="100" w:afterAutospacing="1" w:line="240" w:lineRule="auto"/>
              <w:jc w:val="center"/>
              <w:rPr>
                <w:rFonts w:ascii="Arial" w:eastAsia="Times New Roman" w:hAnsi="Arial" w:cs="Arial"/>
                <w:b/>
                <w:color w:val="000080"/>
                <w:sz w:val="18"/>
                <w:szCs w:val="18"/>
                <w:lang w:eastAsia="tr-TR"/>
              </w:rPr>
            </w:pPr>
            <w:r w:rsidRPr="005631B0">
              <w:rPr>
                <w:rFonts w:ascii="Arial" w:eastAsia="Times New Roman" w:hAnsi="Arial" w:cs="Arial"/>
                <w:b/>
                <w:color w:val="000080"/>
                <w:sz w:val="18"/>
                <w:szCs w:val="18"/>
                <w:lang w:eastAsia="tr-TR"/>
              </w:rPr>
              <w:t>YÖNETMELİK</w:t>
            </w:r>
          </w:p>
        </w:tc>
      </w:tr>
      <w:tr w:rsidR="005631B0" w:rsidRPr="005631B0">
        <w:trPr>
          <w:trHeight w:val="480"/>
          <w:jc w:val="center"/>
        </w:trPr>
        <w:tc>
          <w:tcPr>
            <w:tcW w:w="8789" w:type="dxa"/>
            <w:gridSpan w:val="3"/>
            <w:vAlign w:val="center"/>
            <w:hideMark/>
          </w:tcPr>
          <w:p w:rsidR="005631B0" w:rsidRPr="005631B0" w:rsidRDefault="005631B0" w:rsidP="005631B0">
            <w:pPr>
              <w:tabs>
                <w:tab w:val="left" w:pos="566"/>
              </w:tabs>
              <w:spacing w:after="0" w:line="240" w:lineRule="exact"/>
              <w:ind w:firstLine="566"/>
              <w:rPr>
                <w:rFonts w:ascii="Times New Roman" w:eastAsia="ヒラギノ明朝 Pro W3" w:hAnsi="Times New Roman" w:cs="Times New Roman"/>
                <w:sz w:val="18"/>
                <w:szCs w:val="18"/>
                <w:u w:val="single"/>
              </w:rPr>
            </w:pPr>
            <w:r w:rsidRPr="005631B0">
              <w:rPr>
                <w:rFonts w:ascii="Times New Roman" w:eastAsia="ヒラギノ明朝 Pro W3" w:hAnsi="Times New Roman" w:cs="Times New Roman"/>
                <w:sz w:val="18"/>
                <w:szCs w:val="18"/>
                <w:u w:val="single"/>
              </w:rPr>
              <w:t>Boğaziçi Üniversitesinden:</w:t>
            </w:r>
          </w:p>
          <w:p w:rsidR="005631B0" w:rsidRPr="005631B0" w:rsidRDefault="005631B0" w:rsidP="005631B0">
            <w:pPr>
              <w:spacing w:after="0" w:line="240" w:lineRule="exact"/>
              <w:jc w:val="center"/>
              <w:rPr>
                <w:rFonts w:ascii="Times New Roman" w:eastAsia="ヒラギノ明朝 Pro W3" w:hAnsi="Times New Roman" w:cs="Times New Roman"/>
                <w:b/>
                <w:sz w:val="18"/>
                <w:szCs w:val="18"/>
              </w:rPr>
            </w:pPr>
            <w:r w:rsidRPr="005631B0">
              <w:rPr>
                <w:rFonts w:ascii="Times New Roman" w:eastAsia="ヒラギノ明朝 Pro W3" w:hAnsi="Times New Roman" w:cs="Times New Roman"/>
                <w:b/>
                <w:sz w:val="18"/>
                <w:szCs w:val="18"/>
              </w:rPr>
              <w:t>BOĞAZİÇİ ÜNİVERSİTESİ HALET ÇAMBEL VE NAİL ÇAKIRHAN</w:t>
            </w:r>
          </w:p>
          <w:p w:rsidR="005631B0" w:rsidRPr="005631B0" w:rsidRDefault="005631B0" w:rsidP="005631B0">
            <w:pPr>
              <w:spacing w:after="0" w:line="240" w:lineRule="exact"/>
              <w:jc w:val="center"/>
              <w:rPr>
                <w:rFonts w:ascii="Times New Roman" w:eastAsia="ヒラギノ明朝 Pro W3" w:hAnsi="Times New Roman" w:cs="Times New Roman"/>
                <w:b/>
                <w:sz w:val="18"/>
                <w:szCs w:val="18"/>
              </w:rPr>
            </w:pPr>
            <w:r w:rsidRPr="005631B0">
              <w:rPr>
                <w:rFonts w:ascii="Times New Roman" w:eastAsia="ヒラギノ明朝 Pro W3" w:hAnsi="Times New Roman" w:cs="Times New Roman"/>
                <w:b/>
                <w:sz w:val="18"/>
                <w:szCs w:val="18"/>
              </w:rPr>
              <w:t>ARKEOLOJİ, GELENEKSEL MİMARLIK VE TARİH UYGULAMA</w:t>
            </w:r>
          </w:p>
          <w:p w:rsidR="005631B0" w:rsidRPr="005631B0" w:rsidRDefault="005631B0" w:rsidP="005631B0">
            <w:pPr>
              <w:spacing w:after="0" w:line="240" w:lineRule="exact"/>
              <w:jc w:val="center"/>
              <w:rPr>
                <w:rFonts w:ascii="Times New Roman" w:eastAsia="ヒラギノ明朝 Pro W3" w:hAnsi="Times New Roman" w:cs="Times New Roman"/>
                <w:b/>
                <w:sz w:val="18"/>
                <w:szCs w:val="18"/>
              </w:rPr>
            </w:pPr>
            <w:r w:rsidRPr="005631B0">
              <w:rPr>
                <w:rFonts w:ascii="Times New Roman" w:eastAsia="ヒラギノ明朝 Pro W3" w:hAnsi="Times New Roman" w:cs="Times New Roman"/>
                <w:b/>
                <w:sz w:val="18"/>
                <w:szCs w:val="18"/>
              </w:rPr>
              <w:t>VE ARAŞTIRMA MERKEZİ YÖNETMELİĞİ</w:t>
            </w:r>
          </w:p>
          <w:p w:rsidR="005631B0" w:rsidRPr="005631B0" w:rsidRDefault="005631B0" w:rsidP="005631B0">
            <w:pPr>
              <w:spacing w:after="0" w:line="240" w:lineRule="exact"/>
              <w:jc w:val="center"/>
              <w:rPr>
                <w:rFonts w:ascii="Times New Roman" w:eastAsia="ヒラギノ明朝 Pro W3" w:hAnsi="Times New Roman" w:cs="Times New Roman"/>
                <w:b/>
                <w:sz w:val="18"/>
                <w:szCs w:val="18"/>
              </w:rPr>
            </w:pPr>
            <w:r w:rsidRPr="005631B0">
              <w:rPr>
                <w:rFonts w:ascii="Times New Roman" w:eastAsia="ヒラギノ明朝 Pro W3" w:hAnsi="Times New Roman" w:cs="Times New Roman"/>
                <w:b/>
                <w:sz w:val="18"/>
                <w:szCs w:val="18"/>
              </w:rPr>
              <w:t>BİRİNCİ BÖLÜM</w:t>
            </w:r>
          </w:p>
          <w:p w:rsidR="005631B0" w:rsidRPr="005631B0" w:rsidRDefault="005631B0" w:rsidP="005631B0">
            <w:pPr>
              <w:spacing w:after="0" w:line="240" w:lineRule="exact"/>
              <w:jc w:val="center"/>
              <w:rPr>
                <w:rFonts w:ascii="Times New Roman" w:eastAsia="ヒラギノ明朝 Pro W3" w:hAnsi="Times New Roman" w:cs="Times New Roman"/>
                <w:b/>
                <w:sz w:val="18"/>
                <w:szCs w:val="18"/>
              </w:rPr>
            </w:pPr>
            <w:r w:rsidRPr="005631B0">
              <w:rPr>
                <w:rFonts w:ascii="Times New Roman" w:eastAsia="ヒラギノ明朝 Pro W3" w:hAnsi="Times New Roman" w:cs="Times New Roman"/>
                <w:b/>
                <w:sz w:val="18"/>
                <w:szCs w:val="18"/>
              </w:rPr>
              <w:t>Amaç, Kapsam, Dayanak ve Tanımlar</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b/>
                <w:sz w:val="18"/>
                <w:szCs w:val="18"/>
              </w:rPr>
            </w:pPr>
            <w:r w:rsidRPr="005631B0">
              <w:rPr>
                <w:rFonts w:ascii="Times New Roman" w:eastAsia="ヒラギノ明朝 Pro W3" w:hAnsi="Times New Roman" w:cs="Times New Roman"/>
                <w:b/>
                <w:sz w:val="18"/>
                <w:szCs w:val="18"/>
              </w:rPr>
              <w:t>Amaç</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b/>
                <w:sz w:val="18"/>
                <w:szCs w:val="18"/>
              </w:rPr>
              <w:t>MADDE 1 –</w:t>
            </w:r>
            <w:r w:rsidRPr="005631B0">
              <w:rPr>
                <w:rFonts w:ascii="Times New Roman" w:eastAsia="ヒラギノ明朝 Pro W3" w:hAnsi="Times New Roman" w:cs="Times New Roman"/>
                <w:sz w:val="18"/>
                <w:szCs w:val="18"/>
              </w:rPr>
              <w:t xml:space="preserve"> (1) Bu Yönetmeliğin amacı; Boğaziçi Üniversitesi Rektörlüğüne bağlı olarak kurulan Boğaziçi Üniversitesi Halet Çambel ve Nail </w:t>
            </w:r>
            <w:proofErr w:type="spellStart"/>
            <w:r w:rsidRPr="005631B0">
              <w:rPr>
                <w:rFonts w:ascii="Times New Roman" w:eastAsia="ヒラギノ明朝 Pro W3" w:hAnsi="Times New Roman" w:cs="Times New Roman"/>
                <w:sz w:val="18"/>
                <w:szCs w:val="18"/>
              </w:rPr>
              <w:t>Çakırhan</w:t>
            </w:r>
            <w:proofErr w:type="spellEnd"/>
            <w:r w:rsidRPr="005631B0">
              <w:rPr>
                <w:rFonts w:ascii="Times New Roman" w:eastAsia="ヒラギノ明朝 Pro W3" w:hAnsi="Times New Roman" w:cs="Times New Roman"/>
                <w:sz w:val="18"/>
                <w:szCs w:val="18"/>
              </w:rPr>
              <w:t xml:space="preserve"> Arkeoloji, Geleneksel Mimarlık ve Tarih Uygulama ve Araştırma Merkezinin amaçlarına, faaliyet alanlarına, yönetim organlarına, yönetim organlarının görevlerine ve çalışma şekline ilişkin usul ve esasları düzenlemektir.</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b/>
                <w:sz w:val="18"/>
                <w:szCs w:val="18"/>
              </w:rPr>
            </w:pPr>
            <w:r w:rsidRPr="005631B0">
              <w:rPr>
                <w:rFonts w:ascii="Times New Roman" w:eastAsia="ヒラギノ明朝 Pro W3" w:hAnsi="Times New Roman" w:cs="Times New Roman"/>
                <w:b/>
                <w:sz w:val="18"/>
                <w:szCs w:val="18"/>
              </w:rPr>
              <w:t>Kapsam</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b/>
                <w:sz w:val="18"/>
                <w:szCs w:val="18"/>
              </w:rPr>
              <w:t>MADDE 2 –</w:t>
            </w:r>
            <w:r w:rsidRPr="005631B0">
              <w:rPr>
                <w:rFonts w:ascii="Times New Roman" w:eastAsia="ヒラギノ明朝 Pro W3" w:hAnsi="Times New Roman" w:cs="Times New Roman"/>
                <w:sz w:val="18"/>
                <w:szCs w:val="18"/>
              </w:rPr>
              <w:t xml:space="preserve"> (1) Bu Yönetmelik; Boğaziçi Üniversitesi Halet Çambel ve Nail </w:t>
            </w:r>
            <w:proofErr w:type="spellStart"/>
            <w:r w:rsidRPr="005631B0">
              <w:rPr>
                <w:rFonts w:ascii="Times New Roman" w:eastAsia="ヒラギノ明朝 Pro W3" w:hAnsi="Times New Roman" w:cs="Times New Roman"/>
                <w:sz w:val="18"/>
                <w:szCs w:val="18"/>
              </w:rPr>
              <w:t>Çakırhan</w:t>
            </w:r>
            <w:proofErr w:type="spellEnd"/>
            <w:r w:rsidRPr="005631B0">
              <w:rPr>
                <w:rFonts w:ascii="Times New Roman" w:eastAsia="ヒラギノ明朝 Pro W3" w:hAnsi="Times New Roman" w:cs="Times New Roman"/>
                <w:sz w:val="18"/>
                <w:szCs w:val="18"/>
              </w:rPr>
              <w:t xml:space="preserve"> Arkeoloji, Geleneksel Mimarlık ve Tarih Uygulama ve Araştırma Merkezinin amaçlarına, faaliyet alanlarına, yönetim organlarına ve bu organların görevlerine ilişkin hükümleri kapsar.</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b/>
                <w:sz w:val="18"/>
                <w:szCs w:val="18"/>
              </w:rPr>
            </w:pPr>
            <w:r w:rsidRPr="005631B0">
              <w:rPr>
                <w:rFonts w:ascii="Times New Roman" w:eastAsia="ヒラギノ明朝 Pro W3" w:hAnsi="Times New Roman" w:cs="Times New Roman"/>
                <w:b/>
                <w:sz w:val="18"/>
                <w:szCs w:val="18"/>
              </w:rPr>
              <w:t>Dayanak</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b/>
                <w:sz w:val="18"/>
                <w:szCs w:val="18"/>
              </w:rPr>
              <w:t>MADDE 3 –</w:t>
            </w:r>
            <w:r w:rsidRPr="005631B0">
              <w:rPr>
                <w:rFonts w:ascii="Times New Roman" w:eastAsia="ヒラギノ明朝 Pro W3" w:hAnsi="Times New Roman" w:cs="Times New Roman"/>
                <w:sz w:val="18"/>
                <w:szCs w:val="18"/>
              </w:rPr>
              <w:t xml:space="preserve"> (1) Bu Yönetmelik; </w:t>
            </w:r>
            <w:proofErr w:type="gramStart"/>
            <w:r w:rsidRPr="005631B0">
              <w:rPr>
                <w:rFonts w:ascii="Times New Roman" w:eastAsia="ヒラギノ明朝 Pro W3" w:hAnsi="Times New Roman" w:cs="Times New Roman"/>
                <w:sz w:val="18"/>
                <w:szCs w:val="18"/>
              </w:rPr>
              <w:t>4/11/1981</w:t>
            </w:r>
            <w:proofErr w:type="gramEnd"/>
            <w:r w:rsidRPr="005631B0">
              <w:rPr>
                <w:rFonts w:ascii="Times New Roman" w:eastAsia="ヒラギノ明朝 Pro W3" w:hAnsi="Times New Roman" w:cs="Times New Roman"/>
                <w:sz w:val="18"/>
                <w:szCs w:val="18"/>
              </w:rPr>
              <w:t xml:space="preserve"> tarihli ve 2547 sayılı Yükseköğretim Kanununun 7 </w:t>
            </w:r>
            <w:proofErr w:type="spellStart"/>
            <w:r w:rsidRPr="005631B0">
              <w:rPr>
                <w:rFonts w:ascii="Times New Roman" w:eastAsia="ヒラギノ明朝 Pro W3" w:hAnsi="Times New Roman" w:cs="Times New Roman"/>
                <w:sz w:val="18"/>
                <w:szCs w:val="18"/>
              </w:rPr>
              <w:t>nci</w:t>
            </w:r>
            <w:proofErr w:type="spellEnd"/>
            <w:r w:rsidRPr="005631B0">
              <w:rPr>
                <w:rFonts w:ascii="Times New Roman" w:eastAsia="ヒラギノ明朝 Pro W3" w:hAnsi="Times New Roman" w:cs="Times New Roman"/>
                <w:sz w:val="18"/>
                <w:szCs w:val="18"/>
              </w:rPr>
              <w:t xml:space="preserve"> maddesinin birinci fıkrasının (d) bendinin (2) numaralı alt bendi ile 14 üncü maddesine dayanılarak hazırlanmıştır.</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b/>
                <w:sz w:val="18"/>
                <w:szCs w:val="18"/>
              </w:rPr>
            </w:pPr>
            <w:r w:rsidRPr="005631B0">
              <w:rPr>
                <w:rFonts w:ascii="Times New Roman" w:eastAsia="ヒラギノ明朝 Pro W3" w:hAnsi="Times New Roman" w:cs="Times New Roman"/>
                <w:b/>
                <w:sz w:val="18"/>
                <w:szCs w:val="18"/>
              </w:rPr>
              <w:t>Tanımlar</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b/>
                <w:sz w:val="18"/>
                <w:szCs w:val="18"/>
              </w:rPr>
              <w:t xml:space="preserve">MADDE 4 – </w:t>
            </w:r>
            <w:r w:rsidRPr="005631B0">
              <w:rPr>
                <w:rFonts w:ascii="Times New Roman" w:eastAsia="ヒラギノ明朝 Pro W3" w:hAnsi="Times New Roman" w:cs="Times New Roman"/>
                <w:sz w:val="18"/>
                <w:szCs w:val="18"/>
              </w:rPr>
              <w:t>(1) Bu Yönetmelikte geçen;</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sz w:val="18"/>
                <w:szCs w:val="18"/>
              </w:rPr>
              <w:t>a) Danışma Kurulu: Merkezin Danışma Kurulunu,</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sz w:val="18"/>
                <w:szCs w:val="18"/>
              </w:rPr>
              <w:t xml:space="preserve">b) Merkez: Boğaziçi Üniversitesi Halet Çambel ve Nail </w:t>
            </w:r>
            <w:proofErr w:type="spellStart"/>
            <w:r w:rsidRPr="005631B0">
              <w:rPr>
                <w:rFonts w:ascii="Times New Roman" w:eastAsia="ヒラギノ明朝 Pro W3" w:hAnsi="Times New Roman" w:cs="Times New Roman"/>
                <w:sz w:val="18"/>
                <w:szCs w:val="18"/>
              </w:rPr>
              <w:t>Çakırhan</w:t>
            </w:r>
            <w:proofErr w:type="spellEnd"/>
            <w:r w:rsidRPr="005631B0">
              <w:rPr>
                <w:rFonts w:ascii="Times New Roman" w:eastAsia="ヒラギノ明朝 Pro W3" w:hAnsi="Times New Roman" w:cs="Times New Roman"/>
                <w:sz w:val="18"/>
                <w:szCs w:val="18"/>
              </w:rPr>
              <w:t xml:space="preserve"> Arkeoloji, Geleneksel Mimarlık ve Tarih Uygulama ve Araştırma Merkezini,</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sz w:val="18"/>
                <w:szCs w:val="18"/>
              </w:rPr>
              <w:t>c) Müdür: Merkezin Müdürünü,</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sz w:val="18"/>
                <w:szCs w:val="18"/>
              </w:rPr>
              <w:t>ç) Üniversite: Boğaziçi Üniversitesini,</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sz w:val="18"/>
                <w:szCs w:val="18"/>
              </w:rPr>
              <w:t>d) Vakıf: Boğaziçi Üniversitesi Vakfını,</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sz w:val="18"/>
                <w:szCs w:val="18"/>
              </w:rPr>
              <w:t>e) Yönetim Kurulu: Merkezin Yönetim Kurulunu,</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proofErr w:type="gramStart"/>
            <w:r w:rsidRPr="005631B0">
              <w:rPr>
                <w:rFonts w:ascii="Times New Roman" w:eastAsia="ヒラギノ明朝 Pro W3" w:hAnsi="Times New Roman" w:cs="Times New Roman"/>
                <w:sz w:val="18"/>
                <w:szCs w:val="18"/>
              </w:rPr>
              <w:t>ifade</w:t>
            </w:r>
            <w:proofErr w:type="gramEnd"/>
            <w:r w:rsidRPr="005631B0">
              <w:rPr>
                <w:rFonts w:ascii="Times New Roman" w:eastAsia="ヒラギノ明朝 Pro W3" w:hAnsi="Times New Roman" w:cs="Times New Roman"/>
                <w:sz w:val="18"/>
                <w:szCs w:val="18"/>
              </w:rPr>
              <w:t xml:space="preserve"> eder.</w:t>
            </w:r>
          </w:p>
          <w:p w:rsidR="005631B0" w:rsidRPr="005631B0" w:rsidRDefault="005631B0" w:rsidP="005631B0">
            <w:pPr>
              <w:spacing w:after="0" w:line="240" w:lineRule="exact"/>
              <w:jc w:val="center"/>
              <w:rPr>
                <w:rFonts w:ascii="Times New Roman" w:eastAsia="ヒラギノ明朝 Pro W3" w:hAnsi="Times New Roman" w:cs="Times New Roman"/>
                <w:b/>
                <w:sz w:val="18"/>
                <w:szCs w:val="18"/>
              </w:rPr>
            </w:pPr>
            <w:r w:rsidRPr="005631B0">
              <w:rPr>
                <w:rFonts w:ascii="Times New Roman" w:eastAsia="ヒラギノ明朝 Pro W3" w:hAnsi="Times New Roman" w:cs="Times New Roman"/>
                <w:b/>
                <w:sz w:val="18"/>
                <w:szCs w:val="18"/>
              </w:rPr>
              <w:t>İKİNCİ BÖLÜM</w:t>
            </w:r>
          </w:p>
          <w:p w:rsidR="005631B0" w:rsidRPr="005631B0" w:rsidRDefault="005631B0" w:rsidP="005631B0">
            <w:pPr>
              <w:spacing w:after="0" w:line="240" w:lineRule="exact"/>
              <w:jc w:val="center"/>
              <w:rPr>
                <w:rFonts w:ascii="Times New Roman" w:eastAsia="ヒラギノ明朝 Pro W3" w:hAnsi="Times New Roman" w:cs="Times New Roman"/>
                <w:b/>
                <w:sz w:val="18"/>
                <w:szCs w:val="18"/>
              </w:rPr>
            </w:pPr>
            <w:r w:rsidRPr="005631B0">
              <w:rPr>
                <w:rFonts w:ascii="Times New Roman" w:eastAsia="ヒラギノ明朝 Pro W3" w:hAnsi="Times New Roman" w:cs="Times New Roman"/>
                <w:b/>
                <w:sz w:val="18"/>
                <w:szCs w:val="18"/>
              </w:rPr>
              <w:t>Merkezin Amaçları ve Faaliyet Alanları</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b/>
                <w:sz w:val="18"/>
                <w:szCs w:val="18"/>
              </w:rPr>
            </w:pPr>
            <w:r w:rsidRPr="005631B0">
              <w:rPr>
                <w:rFonts w:ascii="Times New Roman" w:eastAsia="ヒラギノ明朝 Pro W3" w:hAnsi="Times New Roman" w:cs="Times New Roman"/>
                <w:b/>
                <w:sz w:val="18"/>
                <w:szCs w:val="18"/>
              </w:rPr>
              <w:t>Merkezin amaçları</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b/>
                <w:sz w:val="18"/>
                <w:szCs w:val="18"/>
              </w:rPr>
              <w:t>MADDE 5 –</w:t>
            </w:r>
            <w:r w:rsidRPr="005631B0">
              <w:rPr>
                <w:rFonts w:ascii="Times New Roman" w:eastAsia="ヒラギノ明朝 Pro W3" w:hAnsi="Times New Roman" w:cs="Times New Roman"/>
                <w:sz w:val="18"/>
                <w:szCs w:val="18"/>
              </w:rPr>
              <w:t xml:space="preserve"> (1) Merkezin amaçları şunlardır:</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sz w:val="18"/>
                <w:szCs w:val="18"/>
              </w:rPr>
              <w:t>a) Üniversite bünyesinde arkeoloji, geleneksel mimarlık ve tarih konularındaki akademik birikimi uluslararası bir ortama taşıyarak geliştirmek.</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sz w:val="18"/>
                <w:szCs w:val="18"/>
              </w:rPr>
              <w:t>b) Üniversiteye bağışlanmış olan tarihi Halet Çambel Yalısı’nı ve Bahçesini barındırdığı arşivlerle birlikte araştırma ve ziyarete açmak.</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sz w:val="18"/>
                <w:szCs w:val="18"/>
              </w:rPr>
              <w:t>c) Arkeoloji, mimarlık tarihi ve tarih konularında Üniversitede verilen eğitimin geliştirilmesini desteklemek ve teşvik etmek; diğer üniversitelerle bu konularda ortak çalışma ve araştırmaları geliştirmek.</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b/>
                <w:sz w:val="18"/>
                <w:szCs w:val="18"/>
              </w:rPr>
            </w:pPr>
            <w:r w:rsidRPr="005631B0">
              <w:rPr>
                <w:rFonts w:ascii="Times New Roman" w:eastAsia="ヒラギノ明朝 Pro W3" w:hAnsi="Times New Roman" w:cs="Times New Roman"/>
                <w:b/>
                <w:sz w:val="18"/>
                <w:szCs w:val="18"/>
              </w:rPr>
              <w:t>Merkezin faaliyet alanları</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b/>
                <w:sz w:val="18"/>
                <w:szCs w:val="18"/>
              </w:rPr>
              <w:t xml:space="preserve">MADDE 6 – </w:t>
            </w:r>
            <w:r w:rsidRPr="005631B0">
              <w:rPr>
                <w:rFonts w:ascii="Times New Roman" w:eastAsia="ヒラギノ明朝 Pro W3" w:hAnsi="Times New Roman" w:cs="Times New Roman"/>
                <w:sz w:val="18"/>
                <w:szCs w:val="18"/>
              </w:rPr>
              <w:t>(1) Merkez amaçları doğrultusunda aşağıdaki alanlarda faaliyette bulunur:</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sz w:val="18"/>
                <w:szCs w:val="18"/>
              </w:rPr>
              <w:t xml:space="preserve">a) Çambel Yalısında bulunan tarihi arşivlerin incelenmesini ve araştırma sonuçlarının ulusal ve uluslararası akademik konferans, </w:t>
            </w:r>
            <w:proofErr w:type="spellStart"/>
            <w:r w:rsidRPr="005631B0">
              <w:rPr>
                <w:rFonts w:ascii="Times New Roman" w:eastAsia="ヒラギノ明朝 Pro W3" w:hAnsi="Times New Roman" w:cs="Times New Roman"/>
                <w:sz w:val="18"/>
                <w:szCs w:val="18"/>
              </w:rPr>
              <w:t>çalıştay</w:t>
            </w:r>
            <w:proofErr w:type="spellEnd"/>
            <w:r w:rsidRPr="005631B0">
              <w:rPr>
                <w:rFonts w:ascii="Times New Roman" w:eastAsia="ヒラギノ明朝 Pro W3" w:hAnsi="Times New Roman" w:cs="Times New Roman"/>
                <w:sz w:val="18"/>
                <w:szCs w:val="18"/>
              </w:rPr>
              <w:t xml:space="preserve"> ve yayınlar aracılığı ile bilim dünyasına sunulmasını sağlamak.</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sz w:val="18"/>
                <w:szCs w:val="18"/>
              </w:rPr>
              <w:t>b) Çambel Yalısı, Bahçesi ve buradaki tarihî arşivlerin ulusal ve uluslararası düzeylerde araştırma kurumlarına ve araştırmacılara açılmasını sağlamak.</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sz w:val="18"/>
                <w:szCs w:val="18"/>
              </w:rPr>
              <w:t>c) Düzenlenecek uluslararası konferanslar, konuşma dizileri ve bunların yayınlanması ile arkeoloji, geleneksel mimarlık ve tarih konularındaki araştırmaları desteklemek.</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sz w:val="18"/>
                <w:szCs w:val="18"/>
              </w:rPr>
              <w:t>ç) Merkezin amaçları doğrultusunda ulusal ve uluslararası kuruluşlarla işbirliği yapmak.</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sz w:val="18"/>
                <w:szCs w:val="18"/>
              </w:rPr>
              <w:t>d) Arkeoloji, geleneksel mimarlık ve kültürel miras konularında uygulamalı eğitim ve araştırma çalışmaları yürütmek ve bu çalışmaların yayınlanmasını desteklemek.</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sz w:val="18"/>
                <w:szCs w:val="18"/>
              </w:rPr>
              <w:t>e) Kültürel ve mimarî mirası belgelemeye ve korumaya yönelik çalışmaları desteklemek ve geliştirmek.</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sz w:val="18"/>
                <w:szCs w:val="18"/>
              </w:rPr>
              <w:t>f) Arkeoloji, geleneksel mimarlık, mimarlık tarihi, sanat tarihi, tarih ve kültürel miras çalışmaları konularında bilimsel ve akademik işbirliğinin gelişmesini teşvik etmek, bu amaçla; Türkiye’de ve diğer ülkelerde yüksek lisans ve doktora öğrencilerinin, doktora sonrası araştırmacıların ve öğretim üyelerinin bilimsel alışveriş ve hareketliliğine katkıda bulunmak.</w:t>
            </w:r>
          </w:p>
          <w:p w:rsidR="005631B0" w:rsidRPr="005631B0" w:rsidRDefault="005631B0" w:rsidP="005631B0">
            <w:pPr>
              <w:spacing w:after="0" w:line="240" w:lineRule="exact"/>
              <w:jc w:val="center"/>
              <w:rPr>
                <w:rFonts w:ascii="Times New Roman" w:eastAsia="ヒラギノ明朝 Pro W3" w:hAnsi="Times New Roman" w:cs="Times New Roman"/>
                <w:b/>
                <w:sz w:val="18"/>
                <w:szCs w:val="18"/>
              </w:rPr>
            </w:pPr>
            <w:r w:rsidRPr="005631B0">
              <w:rPr>
                <w:rFonts w:ascii="Times New Roman" w:eastAsia="ヒラギノ明朝 Pro W3" w:hAnsi="Times New Roman" w:cs="Times New Roman"/>
                <w:b/>
                <w:sz w:val="18"/>
                <w:szCs w:val="18"/>
              </w:rPr>
              <w:lastRenderedPageBreak/>
              <w:t>ÜÇÜNCÜ BÖLÜM</w:t>
            </w:r>
          </w:p>
          <w:p w:rsidR="005631B0" w:rsidRPr="005631B0" w:rsidRDefault="005631B0" w:rsidP="005631B0">
            <w:pPr>
              <w:spacing w:after="0" w:line="240" w:lineRule="exact"/>
              <w:jc w:val="center"/>
              <w:rPr>
                <w:rFonts w:ascii="Times New Roman" w:eastAsia="ヒラギノ明朝 Pro W3" w:hAnsi="Times New Roman" w:cs="Times New Roman"/>
                <w:b/>
                <w:sz w:val="18"/>
                <w:szCs w:val="18"/>
              </w:rPr>
            </w:pPr>
            <w:r w:rsidRPr="005631B0">
              <w:rPr>
                <w:rFonts w:ascii="Times New Roman" w:eastAsia="ヒラギノ明朝 Pro W3" w:hAnsi="Times New Roman" w:cs="Times New Roman"/>
                <w:b/>
                <w:sz w:val="18"/>
                <w:szCs w:val="18"/>
              </w:rPr>
              <w:t>Merkezin Yönetim Organları ve Bunların Görevleri</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b/>
                <w:sz w:val="18"/>
                <w:szCs w:val="18"/>
              </w:rPr>
            </w:pPr>
            <w:r w:rsidRPr="005631B0">
              <w:rPr>
                <w:rFonts w:ascii="Times New Roman" w:eastAsia="ヒラギノ明朝 Pro W3" w:hAnsi="Times New Roman" w:cs="Times New Roman"/>
                <w:b/>
                <w:sz w:val="18"/>
                <w:szCs w:val="18"/>
              </w:rPr>
              <w:t>Merkezin yönetim organları</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b/>
                <w:sz w:val="18"/>
                <w:szCs w:val="18"/>
              </w:rPr>
              <w:t>MADDE 7 –</w:t>
            </w:r>
            <w:r w:rsidRPr="005631B0">
              <w:rPr>
                <w:rFonts w:ascii="Times New Roman" w:eastAsia="ヒラギノ明朝 Pro W3" w:hAnsi="Times New Roman" w:cs="Times New Roman"/>
                <w:sz w:val="18"/>
                <w:szCs w:val="18"/>
              </w:rPr>
              <w:t xml:space="preserve"> (1) Merkezin yönetim organları şunlardır:</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sz w:val="18"/>
                <w:szCs w:val="18"/>
              </w:rPr>
              <w:t>a) Müdür</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sz w:val="18"/>
                <w:szCs w:val="18"/>
              </w:rPr>
              <w:t>b) Yönetim Kurulu</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sz w:val="18"/>
                <w:szCs w:val="18"/>
              </w:rPr>
              <w:t>c) Danışma Kurulu</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b/>
                <w:sz w:val="18"/>
                <w:szCs w:val="18"/>
              </w:rPr>
            </w:pPr>
            <w:r w:rsidRPr="005631B0">
              <w:rPr>
                <w:rFonts w:ascii="Times New Roman" w:eastAsia="ヒラギノ明朝 Pro W3" w:hAnsi="Times New Roman" w:cs="Times New Roman"/>
                <w:b/>
                <w:sz w:val="18"/>
                <w:szCs w:val="18"/>
              </w:rPr>
              <w:t>Müdür ve Müdür Yardımcıları</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b/>
                <w:sz w:val="18"/>
                <w:szCs w:val="18"/>
              </w:rPr>
              <w:t>MADDE 8 –</w:t>
            </w:r>
            <w:r w:rsidRPr="005631B0">
              <w:rPr>
                <w:rFonts w:ascii="Times New Roman" w:eastAsia="ヒラギノ明朝 Pro W3" w:hAnsi="Times New Roman" w:cs="Times New Roman"/>
                <w:sz w:val="18"/>
                <w:szCs w:val="18"/>
              </w:rPr>
              <w:t xml:space="preserve"> (1) Müdür; Üniversitede tam zamanlı görev yapan öğretim üyeleri arasından Yönetim Kurulunun önerisi üzerine Rektör tarafından üç yıl süre için görevlendirilir. Süresi biten Müdür tekrar görevlendirilebilir. Müdürün görevi başında dört aydan fazla bulunamaması halinde yeni bir Müdür görevlendirilir. Müdür, Merkezin çalışmalarının düzenli olarak yürütülmesi ve geliştirilmesinden Rektöre karşı sorumludur.</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sz w:val="18"/>
                <w:szCs w:val="18"/>
              </w:rPr>
              <w:t>(2) Müdürün önerisi üzerine, Üniversitede alanında uzman öğretim elemanlarından en çok iki kişi Müdür Yardımcısı olarak Rektör tarafından üç yıl süre ile görevlendirilir. Müdür Yardımcıları, Müdürün kendilerine vereceği görevleri yaparlar. Müdür, görevi başında bulunmadığı zaman yardımcılarından birisini yerine vekil bırakır.</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b/>
                <w:sz w:val="18"/>
                <w:szCs w:val="18"/>
              </w:rPr>
            </w:pPr>
            <w:r w:rsidRPr="005631B0">
              <w:rPr>
                <w:rFonts w:ascii="Times New Roman" w:eastAsia="ヒラギノ明朝 Pro W3" w:hAnsi="Times New Roman" w:cs="Times New Roman"/>
                <w:b/>
                <w:sz w:val="18"/>
                <w:szCs w:val="18"/>
              </w:rPr>
              <w:t>Müdürün görevleri</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b/>
                <w:sz w:val="18"/>
                <w:szCs w:val="18"/>
              </w:rPr>
              <w:t xml:space="preserve">MADDE 9 – </w:t>
            </w:r>
            <w:r w:rsidRPr="005631B0">
              <w:rPr>
                <w:rFonts w:ascii="Times New Roman" w:eastAsia="ヒラギノ明朝 Pro W3" w:hAnsi="Times New Roman" w:cs="Times New Roman"/>
                <w:sz w:val="18"/>
                <w:szCs w:val="18"/>
              </w:rPr>
              <w:t>(1) Müdürün görevleri şunlardır:</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sz w:val="18"/>
                <w:szCs w:val="18"/>
              </w:rPr>
              <w:t>a) Merkezi temsil etmek.</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sz w:val="18"/>
                <w:szCs w:val="18"/>
              </w:rPr>
              <w:t>b) Merkezin çalışmalarının düzenli olarak yürütülmesini ve geliştirilmesini sağlamak.</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sz w:val="18"/>
                <w:szCs w:val="18"/>
              </w:rPr>
              <w:t>c) Yönetim Kurulunu toplantıya çağırmak, bu toplantıların gündemini hazırlamak ve toplantılara başkanlık etmek.</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sz w:val="18"/>
                <w:szCs w:val="18"/>
              </w:rPr>
              <w:t>ç) Yönetim Kurulu kararlarının uygulanmasını sağlamak.</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sz w:val="18"/>
                <w:szCs w:val="18"/>
              </w:rPr>
              <w:t>d) Merkezin yıllık faaliyet raporunu ve bir sonraki yıla ait yıllık çalışma programını hazırlamak ve Yönetim Kurulu tarafından onaylanmış şekli ile Rektörlüğe sunmak.</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sz w:val="18"/>
                <w:szCs w:val="18"/>
              </w:rPr>
              <w:t>e) Danışma Kurulunu toplantıya çağırmak.</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b/>
                <w:sz w:val="18"/>
                <w:szCs w:val="18"/>
              </w:rPr>
            </w:pPr>
            <w:r w:rsidRPr="005631B0">
              <w:rPr>
                <w:rFonts w:ascii="Times New Roman" w:eastAsia="ヒラギノ明朝 Pro W3" w:hAnsi="Times New Roman" w:cs="Times New Roman"/>
                <w:b/>
                <w:sz w:val="18"/>
                <w:szCs w:val="18"/>
              </w:rPr>
              <w:t>Yönetim Kurulu</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b/>
                <w:sz w:val="18"/>
                <w:szCs w:val="18"/>
              </w:rPr>
              <w:t>MADDE 10 –</w:t>
            </w:r>
            <w:r w:rsidRPr="005631B0">
              <w:rPr>
                <w:rFonts w:ascii="Times New Roman" w:eastAsia="ヒラギノ明朝 Pro W3" w:hAnsi="Times New Roman" w:cs="Times New Roman"/>
                <w:sz w:val="18"/>
                <w:szCs w:val="18"/>
              </w:rPr>
              <w:t xml:space="preserve"> (1) Yönetim Kurulu; en az dördü Üniversitede tam zamanlı olarak görev yapan öğretim üyeleri arasından olmak üzere, toplam beş kişiden oluşur. Yönetim Kurulu, Üniversitede tam zamanlı görev yapan bir üyeyi, Rektöre Müdür adayı olarak önerir. Yönetim Kurulu üyeleri Rektör tarafından üç yıl süreyle görevlendirilir. Süresi biten üyeler yeniden görevlendirilebilir.</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sz w:val="18"/>
                <w:szCs w:val="18"/>
              </w:rPr>
              <w:t>(2) Yönetim Kurulu en az iki ayda bir defa toplanır. Yönetim Kurulu tutanakları Danışma Kurulu üyelerinin incelemesine açık tutulur, ayrıca bu tutanakların birer nüshası Rektörlüğe ve ilgili akademik birimlere gönderilir.</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b/>
                <w:sz w:val="18"/>
                <w:szCs w:val="18"/>
              </w:rPr>
            </w:pPr>
            <w:r w:rsidRPr="005631B0">
              <w:rPr>
                <w:rFonts w:ascii="Times New Roman" w:eastAsia="ヒラギノ明朝 Pro W3" w:hAnsi="Times New Roman" w:cs="Times New Roman"/>
                <w:b/>
                <w:sz w:val="18"/>
                <w:szCs w:val="18"/>
              </w:rPr>
              <w:t>Yönetim Kurulunun görevleri</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b/>
                <w:sz w:val="18"/>
                <w:szCs w:val="18"/>
              </w:rPr>
              <w:t>MADDE 11 –</w:t>
            </w:r>
            <w:r w:rsidRPr="005631B0">
              <w:rPr>
                <w:rFonts w:ascii="Times New Roman" w:eastAsia="ヒラギノ明朝 Pro W3" w:hAnsi="Times New Roman" w:cs="Times New Roman"/>
                <w:sz w:val="18"/>
                <w:szCs w:val="18"/>
              </w:rPr>
              <w:t xml:space="preserve"> (1) Yönetim Kurulunun görevleri şunlardır:</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sz w:val="18"/>
                <w:szCs w:val="18"/>
              </w:rPr>
              <w:t>a) Merkezin çalışma ve yönetimi ile ilgili konularda karar almak.</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sz w:val="18"/>
                <w:szCs w:val="18"/>
              </w:rPr>
              <w:t>b) Merkezin yıllık faaliyet raporunu ve yıllık çalışma programını görüşerek karara bağlamak.</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sz w:val="18"/>
                <w:szCs w:val="18"/>
              </w:rPr>
              <w:t>c) Araştırma, yayın, öğretim ve diğer çalışma alanlarına ilişkin konularda karar almak.</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sz w:val="18"/>
                <w:szCs w:val="18"/>
              </w:rPr>
              <w:t>ç) Merkezin bünyesinde kurulacak olan bilimsel çalışma gruplarını ve komisyonları belirlemek.</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sz w:val="18"/>
                <w:szCs w:val="18"/>
              </w:rPr>
              <w:t>d) Merkezin uzun vadeli bilimsel ve idarî plan ve programını hazırlamak ve Rektörlüğe sunmak.</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b/>
                <w:sz w:val="18"/>
                <w:szCs w:val="18"/>
              </w:rPr>
            </w:pPr>
            <w:r w:rsidRPr="005631B0">
              <w:rPr>
                <w:rFonts w:ascii="Times New Roman" w:eastAsia="ヒラギノ明朝 Pro W3" w:hAnsi="Times New Roman" w:cs="Times New Roman"/>
                <w:b/>
                <w:sz w:val="18"/>
                <w:szCs w:val="18"/>
              </w:rPr>
              <w:t>Danışma Kurulu</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b/>
                <w:sz w:val="18"/>
                <w:szCs w:val="18"/>
              </w:rPr>
              <w:t>MADDE 12 –</w:t>
            </w:r>
            <w:r w:rsidRPr="005631B0">
              <w:rPr>
                <w:rFonts w:ascii="Times New Roman" w:eastAsia="ヒラギノ明朝 Pro W3" w:hAnsi="Times New Roman" w:cs="Times New Roman"/>
                <w:sz w:val="18"/>
                <w:szCs w:val="18"/>
              </w:rPr>
              <w:t xml:space="preserve"> (1) Danışma Kurulu; Merkezin faaliyet alanları doğrultusunda çalışmalar yürüten veya çalışma alanlarının Merkeze katkısı olacağı düşünülen, Üniversite ile diğer kişi, kurum ve kuruluşların temsilcileri arasından seçilen en fazla on üyeden oluşur. Danışma Kurulu üyeleri, Rektör tarafından üç yıllığına görevlendirilir. Süresi biten üyeler yeniden görevlendirilebilir.</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sz w:val="18"/>
                <w:szCs w:val="18"/>
              </w:rPr>
              <w:t>(2) Danışma Kurulu yılda bir kez olağan olarak toplanır. Müdür gerekli gördüğü takdirde Danışma Kurulunu olağanüstü toplantıya çağırabilir.</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b/>
                <w:sz w:val="18"/>
                <w:szCs w:val="18"/>
              </w:rPr>
            </w:pPr>
            <w:r w:rsidRPr="005631B0">
              <w:rPr>
                <w:rFonts w:ascii="Times New Roman" w:eastAsia="ヒラギノ明朝 Pro W3" w:hAnsi="Times New Roman" w:cs="Times New Roman"/>
                <w:b/>
                <w:sz w:val="18"/>
                <w:szCs w:val="18"/>
              </w:rPr>
              <w:t>Danışma Kurulunun görevleri</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b/>
                <w:sz w:val="18"/>
                <w:szCs w:val="18"/>
              </w:rPr>
              <w:t>MADDE 13 –</w:t>
            </w:r>
            <w:r w:rsidRPr="005631B0">
              <w:rPr>
                <w:rFonts w:ascii="Times New Roman" w:eastAsia="ヒラギノ明朝 Pro W3" w:hAnsi="Times New Roman" w:cs="Times New Roman"/>
                <w:sz w:val="18"/>
                <w:szCs w:val="18"/>
              </w:rPr>
              <w:t xml:space="preserve"> (1) Danışma Kurulunun görevleri şunlardır:</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sz w:val="18"/>
                <w:szCs w:val="18"/>
              </w:rPr>
              <w:t>a) Uzun vadeli bilimsel faaliyet planlarını değerlendirerek, Yönetim Kuruluna önerilerde bulunmak.</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sz w:val="18"/>
                <w:szCs w:val="18"/>
              </w:rPr>
              <w:t>b) Merkeze çalışmalarında bilimsel ve idarî açıdan bilgi, deneyim ve önerilerde bulunmak.</w:t>
            </w:r>
          </w:p>
          <w:p w:rsidR="005631B0" w:rsidRPr="005631B0" w:rsidRDefault="005631B0" w:rsidP="005631B0">
            <w:pPr>
              <w:spacing w:after="0" w:line="240" w:lineRule="exact"/>
              <w:jc w:val="center"/>
              <w:rPr>
                <w:rFonts w:ascii="Times New Roman" w:eastAsia="ヒラギノ明朝 Pro W3" w:hAnsi="Times New Roman" w:cs="Times New Roman"/>
                <w:b/>
                <w:sz w:val="18"/>
                <w:szCs w:val="18"/>
              </w:rPr>
            </w:pPr>
            <w:r w:rsidRPr="005631B0">
              <w:rPr>
                <w:rFonts w:ascii="Times New Roman" w:eastAsia="ヒラギノ明朝 Pro W3" w:hAnsi="Times New Roman" w:cs="Times New Roman"/>
                <w:b/>
                <w:sz w:val="18"/>
                <w:szCs w:val="18"/>
              </w:rPr>
              <w:t>DÖRDÜNCÜ BÖLÜM</w:t>
            </w:r>
          </w:p>
          <w:p w:rsidR="005631B0" w:rsidRPr="005631B0" w:rsidRDefault="005631B0" w:rsidP="005631B0">
            <w:pPr>
              <w:spacing w:after="0" w:line="240" w:lineRule="exact"/>
              <w:jc w:val="center"/>
              <w:rPr>
                <w:rFonts w:ascii="Times New Roman" w:eastAsia="ヒラギノ明朝 Pro W3" w:hAnsi="Times New Roman" w:cs="Times New Roman"/>
                <w:b/>
                <w:sz w:val="18"/>
                <w:szCs w:val="18"/>
              </w:rPr>
            </w:pPr>
            <w:r w:rsidRPr="005631B0">
              <w:rPr>
                <w:rFonts w:ascii="Times New Roman" w:eastAsia="ヒラギノ明朝 Pro W3" w:hAnsi="Times New Roman" w:cs="Times New Roman"/>
                <w:b/>
                <w:sz w:val="18"/>
                <w:szCs w:val="18"/>
              </w:rPr>
              <w:t>Çeşitli ve Son Hükümler</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b/>
                <w:sz w:val="18"/>
                <w:szCs w:val="18"/>
              </w:rPr>
            </w:pPr>
            <w:r w:rsidRPr="005631B0">
              <w:rPr>
                <w:rFonts w:ascii="Times New Roman" w:eastAsia="ヒラギノ明朝 Pro W3" w:hAnsi="Times New Roman" w:cs="Times New Roman"/>
                <w:b/>
                <w:sz w:val="18"/>
                <w:szCs w:val="18"/>
              </w:rPr>
              <w:t>Çalışma grupları</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b/>
                <w:sz w:val="18"/>
                <w:szCs w:val="18"/>
              </w:rPr>
              <w:t>MADDE 14 –</w:t>
            </w:r>
            <w:r w:rsidRPr="005631B0">
              <w:rPr>
                <w:rFonts w:ascii="Times New Roman" w:eastAsia="ヒラギノ明朝 Pro W3" w:hAnsi="Times New Roman" w:cs="Times New Roman"/>
                <w:sz w:val="18"/>
                <w:szCs w:val="18"/>
              </w:rPr>
              <w:t xml:space="preserve"> (1) Yönetim Kurulu; araştırma, eğitim ve Merkez faaliyetlerini daha hızlı ve verimli yürütmek ve düzenlemek için çalışma grupları oluşturabilir.</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sz w:val="18"/>
                <w:szCs w:val="18"/>
              </w:rPr>
              <w:t>(2) Çalışma gruplarının üyeleri Üniversitenin ilgili bölümlerindeki tam zamanlı öğretim üyeleri içinden gönüllü olan adaylar arasından Yönetim Kurulunun onayı alınarak belirlenir.</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sz w:val="18"/>
                <w:szCs w:val="18"/>
              </w:rPr>
              <w:t xml:space="preserve">(3) Yönetim Kurulu, çalışma gruplarının çalışmalarını değerlendirir. Bu çalışmaları uygulamaya koymak veya </w:t>
            </w:r>
            <w:r w:rsidRPr="005631B0">
              <w:rPr>
                <w:rFonts w:ascii="Times New Roman" w:eastAsia="ヒラギノ明朝 Pro W3" w:hAnsi="Times New Roman" w:cs="Times New Roman"/>
                <w:sz w:val="18"/>
                <w:szCs w:val="18"/>
              </w:rPr>
              <w:lastRenderedPageBreak/>
              <w:t>Danışma Kurulunda tartışmaya açmak zorunda değildir.</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b/>
                <w:sz w:val="18"/>
                <w:szCs w:val="18"/>
              </w:rPr>
            </w:pPr>
            <w:r w:rsidRPr="005631B0">
              <w:rPr>
                <w:rFonts w:ascii="Times New Roman" w:eastAsia="ヒラギノ明朝 Pro W3" w:hAnsi="Times New Roman" w:cs="Times New Roman"/>
                <w:b/>
                <w:sz w:val="18"/>
                <w:szCs w:val="18"/>
              </w:rPr>
              <w:t>Personel ihtiyacı</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b/>
                <w:sz w:val="18"/>
                <w:szCs w:val="18"/>
              </w:rPr>
              <w:t>MADDE 15 –</w:t>
            </w:r>
            <w:r w:rsidRPr="005631B0">
              <w:rPr>
                <w:rFonts w:ascii="Times New Roman" w:eastAsia="ヒラギノ明朝 Pro W3" w:hAnsi="Times New Roman" w:cs="Times New Roman"/>
                <w:sz w:val="18"/>
                <w:szCs w:val="18"/>
              </w:rPr>
              <w:t xml:space="preserve"> (1) Merkezin akademik, teknik ve idarî personel ihtiyacı, Müdürün önerisi üzerine 2547 sayılı Kanunun 13 üncü maddesi uyarınca, Rektör tarafından görevlendirilecek personel ile karşılanır.</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b/>
                <w:sz w:val="18"/>
                <w:szCs w:val="18"/>
              </w:rPr>
            </w:pPr>
            <w:r w:rsidRPr="005631B0">
              <w:rPr>
                <w:rFonts w:ascii="Times New Roman" w:eastAsia="ヒラギノ明朝 Pro W3" w:hAnsi="Times New Roman" w:cs="Times New Roman"/>
                <w:b/>
                <w:sz w:val="18"/>
                <w:szCs w:val="18"/>
              </w:rPr>
              <w:t>Yürürlük</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b/>
                <w:sz w:val="18"/>
                <w:szCs w:val="18"/>
              </w:rPr>
              <w:t>MADDE 16 –</w:t>
            </w:r>
            <w:r w:rsidRPr="005631B0">
              <w:rPr>
                <w:rFonts w:ascii="Times New Roman" w:eastAsia="ヒラギノ明朝 Pro W3" w:hAnsi="Times New Roman" w:cs="Times New Roman"/>
                <w:sz w:val="18"/>
                <w:szCs w:val="18"/>
              </w:rPr>
              <w:t xml:space="preserve"> (1) Bu Yönetmelik yayımı tarihinde yürürlüğe girer.</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b/>
                <w:sz w:val="18"/>
                <w:szCs w:val="18"/>
              </w:rPr>
            </w:pPr>
            <w:r w:rsidRPr="005631B0">
              <w:rPr>
                <w:rFonts w:ascii="Times New Roman" w:eastAsia="ヒラギノ明朝 Pro W3" w:hAnsi="Times New Roman" w:cs="Times New Roman"/>
                <w:b/>
                <w:sz w:val="18"/>
                <w:szCs w:val="18"/>
              </w:rPr>
              <w:t>Yürütme</w:t>
            </w:r>
          </w:p>
          <w:p w:rsidR="005631B0" w:rsidRPr="005631B0" w:rsidRDefault="005631B0" w:rsidP="005631B0">
            <w:pPr>
              <w:tabs>
                <w:tab w:val="left" w:pos="566"/>
              </w:tabs>
              <w:spacing w:after="0" w:line="240" w:lineRule="exact"/>
              <w:ind w:firstLine="566"/>
              <w:jc w:val="both"/>
              <w:rPr>
                <w:rFonts w:ascii="Times New Roman" w:eastAsia="ヒラギノ明朝 Pro W3" w:hAnsi="Times New Roman" w:cs="Times New Roman"/>
                <w:sz w:val="18"/>
                <w:szCs w:val="18"/>
              </w:rPr>
            </w:pPr>
            <w:r w:rsidRPr="005631B0">
              <w:rPr>
                <w:rFonts w:ascii="Times New Roman" w:eastAsia="ヒラギノ明朝 Pro W3" w:hAnsi="Times New Roman" w:cs="Times New Roman"/>
                <w:b/>
                <w:sz w:val="18"/>
                <w:szCs w:val="18"/>
              </w:rPr>
              <w:t>MADDE 17 –</w:t>
            </w:r>
            <w:r w:rsidRPr="005631B0">
              <w:rPr>
                <w:rFonts w:ascii="Times New Roman" w:eastAsia="ヒラギノ明朝 Pro W3" w:hAnsi="Times New Roman" w:cs="Times New Roman"/>
                <w:sz w:val="18"/>
                <w:szCs w:val="18"/>
              </w:rPr>
              <w:t xml:space="preserve"> (1) Bu Yönetmelik hükümlerini Boğaziçi Üniversitesi Rektörü yürütür.</w:t>
            </w:r>
          </w:p>
        </w:tc>
      </w:tr>
    </w:tbl>
    <w:p w:rsidR="00C52558" w:rsidRDefault="00C52558"/>
    <w:sectPr w:rsidR="00C525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ヒラギノ明朝 Pro W3">
    <w:altName w:val="MS Mincho"/>
    <w:charset w:val="80"/>
    <w:family w:val="auto"/>
    <w:pitch w:val="variable"/>
    <w:sig w:usb0="00000001" w:usb1="00000000" w:usb2="01000407" w:usb3="00000000" w:csb0="00020000" w:csb1="00000000"/>
  </w:font>
  <w:font w:name="Times">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31B0"/>
    <w:rsid w:val="005631B0"/>
    <w:rsid w:val="00C52558"/>
    <w:rsid w:val="00D644F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5631B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ık"/>
    <w:rsid w:val="005631B0"/>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5631B0"/>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5631B0"/>
    <w:pPr>
      <w:tabs>
        <w:tab w:val="left" w:pos="566"/>
      </w:tabs>
      <w:spacing w:after="0" w:line="240" w:lineRule="auto"/>
      <w:jc w:val="both"/>
    </w:pPr>
    <w:rPr>
      <w:rFonts w:ascii="Times New Roman" w:eastAsia="ヒラギノ明朝 Pro W3" w:hAnsi="Times" w:cs="Times New Roman"/>
      <w:sz w:val="19"/>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5631B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ık"/>
    <w:rsid w:val="005631B0"/>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5631B0"/>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5631B0"/>
    <w:pPr>
      <w:tabs>
        <w:tab w:val="left" w:pos="566"/>
      </w:tabs>
      <w:spacing w:after="0" w:line="240" w:lineRule="auto"/>
      <w:jc w:val="both"/>
    </w:pPr>
    <w:rPr>
      <w:rFonts w:ascii="Times New Roman" w:eastAsia="ヒラギノ明朝 Pro W3" w:hAnsi="Times" w:cs="Times New Roman"/>
      <w:sz w:val="19"/>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1170</Words>
  <Characters>6675</Characters>
  <Application>Microsoft Office Word</Application>
  <DocSecurity>0</DocSecurity>
  <Lines>55</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2020-09-22T12:57:00Z</dcterms:created>
  <dcterms:modified xsi:type="dcterms:W3CDTF">2020-09-22T12:57:00Z</dcterms:modified>
</cp:coreProperties>
</file>