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rsidRPr="00D6527A">
            <w:tc>
              <w:tcPr>
                <w:tcW w:w="10296" w:type="dxa"/>
              </w:tcPr>
              <w:p w:rsidR="00D9381D" w:rsidRPr="00D6527A" w:rsidRDefault="007515F0" w:rsidP="008F7334">
                <w:pPr>
                  <w:pStyle w:val="KonuBal"/>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8F7334">
                      <w:rPr>
                        <w:color w:val="548DD4" w:themeColor="text2" w:themeTint="99"/>
                        <w:sz w:val="96"/>
                        <w:szCs w:val="96"/>
                      </w:rPr>
                      <w:t>Psikoloji</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7515F0" w:rsidP="00071A9C">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F96350">
                      <w:rPr>
                        <w:b/>
                        <w:sz w:val="96"/>
                        <w:szCs w:val="96"/>
                      </w:rPr>
                      <w:t>2023</w:t>
                    </w:r>
                  </w:sdtContent>
                </w:sdt>
              </w:p>
            </w:tc>
          </w:tr>
          <w:tr w:rsidR="00D9381D" w:rsidRPr="00D6527A">
            <w:trPr>
              <w:trHeight w:val="1152"/>
            </w:trPr>
            <w:tc>
              <w:tcPr>
                <w:tcW w:w="0" w:type="auto"/>
                <w:vAlign w:val="bottom"/>
              </w:tcPr>
              <w:p w:rsidR="00D9381D" w:rsidRPr="00D6527A" w:rsidRDefault="007515F0"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72BE4B6A" wp14:editId="096008D6">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236F1A15"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443FBFCD" wp14:editId="5CADEEF1">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240C0725"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17B47ABB" wp14:editId="01D50FFC">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8B0C37" w:rsidRDefault="008B0C37">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17B47ABB"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8B0C37" w:rsidRDefault="008B0C37">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65D2E4ED" wp14:editId="66A542A5">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10177FBF"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6CFAB005" wp14:editId="683FA839">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D64406">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787477" w:rsidRDefault="00787477" w:rsidP="00D64406">
      <w:pPr>
        <w:spacing w:after="0" w:line="300" w:lineRule="exact"/>
        <w:rPr>
          <w:rFonts w:asciiTheme="majorHAnsi" w:eastAsia="Calibri" w:hAnsiTheme="majorHAnsi" w:cs="InterstateLight"/>
          <w:lang w:val="de-DE"/>
        </w:rPr>
      </w:pPr>
    </w:p>
    <w:p w:rsidR="003A53E2" w:rsidRPr="003A53E2" w:rsidRDefault="001143C7" w:rsidP="003A53E2">
      <w:pPr>
        <w:spacing w:after="120" w:line="300" w:lineRule="exact"/>
        <w:ind w:firstLine="425"/>
        <w:jc w:val="both"/>
        <w:rPr>
          <w:rFonts w:asciiTheme="majorHAnsi" w:eastAsia="Times New Roman" w:hAnsiTheme="majorHAnsi" w:cs="Times New Roman"/>
          <w:szCs w:val="24"/>
          <w:lang w:eastAsia="zh-CN"/>
        </w:rPr>
      </w:pPr>
      <w:r w:rsidRPr="003A53E2">
        <w:rPr>
          <w:rFonts w:asciiTheme="majorHAnsi" w:eastAsia="Calibri" w:hAnsiTheme="majorHAnsi" w:cs="InterstateLight"/>
          <w:sz w:val="20"/>
          <w:lang w:val="de-DE"/>
        </w:rPr>
        <w:t xml:space="preserve">          </w:t>
      </w:r>
      <w:r w:rsidR="003A53E2" w:rsidRPr="003A53E2">
        <w:rPr>
          <w:rFonts w:asciiTheme="majorHAnsi" w:eastAsia="Times New Roman" w:hAnsiTheme="majorHAnsi" w:cs="Times New Roman"/>
          <w:szCs w:val="24"/>
          <w:lang w:eastAsia="zh-CN"/>
        </w:rPr>
        <w:t xml:space="preserve">Boğaziçi Üniversitesi Psikoloji Uygulama ve Araştırma Merkezi (BÜPAM), klinik psikoloji yüksek lisans ve doktora öğrencilerine uygulamalı klinik stajı fırsatı sağlayarak klinik </w:t>
      </w:r>
      <w:proofErr w:type="gramStart"/>
      <w:r w:rsidR="003A53E2" w:rsidRPr="003A53E2">
        <w:rPr>
          <w:rFonts w:asciiTheme="majorHAnsi" w:eastAsia="Times New Roman" w:hAnsiTheme="majorHAnsi" w:cs="Times New Roman"/>
          <w:szCs w:val="24"/>
          <w:lang w:eastAsia="zh-CN"/>
        </w:rPr>
        <w:t>terapi</w:t>
      </w:r>
      <w:proofErr w:type="gramEnd"/>
      <w:r w:rsidR="003A53E2" w:rsidRPr="003A53E2">
        <w:rPr>
          <w:rFonts w:asciiTheme="majorHAnsi" w:eastAsia="Times New Roman" w:hAnsiTheme="majorHAnsi" w:cs="Times New Roman"/>
          <w:szCs w:val="24"/>
          <w:lang w:eastAsia="zh-CN"/>
        </w:rPr>
        <w:t xml:space="preserve"> hizmetleri sunmaktadır. Ayrıca, toplumdaki kırılgan gruplara yönelik önleyici müdahale programları geliştirmekte ve saha uygulamasını koordine etmektedir.</w:t>
      </w:r>
    </w:p>
    <w:p w:rsidR="003A53E2" w:rsidRPr="003A53E2" w:rsidRDefault="003A53E2" w:rsidP="003A53E2">
      <w:pPr>
        <w:spacing w:after="120" w:line="300" w:lineRule="exact"/>
        <w:ind w:firstLine="425"/>
        <w:jc w:val="both"/>
        <w:rPr>
          <w:rFonts w:asciiTheme="majorHAnsi" w:eastAsia="Times New Roman" w:hAnsiTheme="majorHAnsi" w:cs="Times New Roman"/>
          <w:szCs w:val="24"/>
          <w:lang w:eastAsia="zh-CN"/>
        </w:rPr>
      </w:pPr>
      <w:r w:rsidRPr="003A53E2">
        <w:rPr>
          <w:rFonts w:asciiTheme="majorHAnsi" w:eastAsia="Times New Roman" w:hAnsiTheme="majorHAnsi" w:cs="Times New Roman"/>
          <w:szCs w:val="24"/>
          <w:lang w:eastAsia="zh-CN"/>
        </w:rPr>
        <w:t xml:space="preserve">BÜPAM’ın ana </w:t>
      </w:r>
      <w:proofErr w:type="gramStart"/>
      <w:r w:rsidRPr="003A53E2">
        <w:rPr>
          <w:rFonts w:asciiTheme="majorHAnsi" w:eastAsia="Times New Roman" w:hAnsiTheme="majorHAnsi" w:cs="Times New Roman"/>
          <w:szCs w:val="24"/>
          <w:lang w:eastAsia="zh-CN"/>
        </w:rPr>
        <w:t>misyonu</w:t>
      </w:r>
      <w:proofErr w:type="gramEnd"/>
      <w:r w:rsidRPr="003A53E2">
        <w:rPr>
          <w:rFonts w:asciiTheme="majorHAnsi" w:eastAsia="Times New Roman" w:hAnsiTheme="majorHAnsi" w:cs="Times New Roman"/>
          <w:szCs w:val="24"/>
          <w:lang w:eastAsia="zh-CN"/>
        </w:rPr>
        <w:t xml:space="preserve"> Psikoloji Bölümü’nde yürütülmekte olan Klinik Psikoloji Yüksek Lisans ve Doktora programlarında öğretim gören öğrencilerin klinik uygulama deneyimlerini klinik psikoloji alanındaki öğretim üyelerinin verdiği süpervizyon altında geliştirmelerine olanak sağlamaktır. Yurtdışında da Klinik Psikoloji Yüksek Lisans ve Doktora programlarının uygulama ayağı benzer şekilde Üniversite bünyesinde yer alan merkezlerde yürütülmektedir. BÜPAM Türkiye’de Klinik Psikoloji Yüksek Lisans programları arasında böyle bir merkezi oluşturan ilk Üniversite merkezidir. Yıllardır BÜPAM bu konuda birçok üniversiteye önderlik yapmayı </w:t>
      </w:r>
      <w:proofErr w:type="gramStart"/>
      <w:r w:rsidRPr="003A53E2">
        <w:rPr>
          <w:rFonts w:asciiTheme="majorHAnsi" w:eastAsia="Times New Roman" w:hAnsiTheme="majorHAnsi" w:cs="Times New Roman"/>
          <w:szCs w:val="24"/>
          <w:lang w:eastAsia="zh-CN"/>
        </w:rPr>
        <w:t>misyonunun</w:t>
      </w:r>
      <w:proofErr w:type="gramEnd"/>
      <w:r w:rsidRPr="003A53E2">
        <w:rPr>
          <w:rFonts w:asciiTheme="majorHAnsi" w:eastAsia="Times New Roman" w:hAnsiTheme="majorHAnsi" w:cs="Times New Roman"/>
          <w:szCs w:val="24"/>
          <w:lang w:eastAsia="zh-CN"/>
        </w:rPr>
        <w:t xml:space="preserve"> bir parçası saymıştır. </w:t>
      </w:r>
    </w:p>
    <w:p w:rsidR="003A53E2" w:rsidRPr="003A53E2" w:rsidRDefault="003A53E2" w:rsidP="003A53E2">
      <w:pPr>
        <w:spacing w:after="120" w:line="300" w:lineRule="exact"/>
        <w:jc w:val="both"/>
        <w:rPr>
          <w:rFonts w:asciiTheme="majorHAnsi" w:eastAsia="Times New Roman" w:hAnsiTheme="majorHAnsi" w:cs="Times New Roman"/>
          <w:szCs w:val="24"/>
          <w:lang w:eastAsia="zh-CN"/>
        </w:rPr>
      </w:pPr>
      <w:r w:rsidRPr="003A53E2">
        <w:rPr>
          <w:rFonts w:asciiTheme="majorHAnsi" w:eastAsia="Times New Roman" w:hAnsiTheme="majorHAnsi" w:cs="Times New Roman"/>
          <w:szCs w:val="24"/>
          <w:lang w:eastAsia="zh-CN"/>
        </w:rPr>
        <w:t xml:space="preserve">          BÜPAM’ın </w:t>
      </w:r>
      <w:proofErr w:type="gramStart"/>
      <w:r w:rsidRPr="003A53E2">
        <w:rPr>
          <w:rFonts w:asciiTheme="majorHAnsi" w:eastAsia="Times New Roman" w:hAnsiTheme="majorHAnsi" w:cs="Times New Roman"/>
          <w:szCs w:val="24"/>
          <w:lang w:eastAsia="zh-CN"/>
        </w:rPr>
        <w:t>misyonunun</w:t>
      </w:r>
      <w:proofErr w:type="gramEnd"/>
      <w:r w:rsidRPr="003A53E2">
        <w:rPr>
          <w:rFonts w:asciiTheme="majorHAnsi" w:eastAsia="Times New Roman" w:hAnsiTheme="majorHAnsi" w:cs="Times New Roman"/>
          <w:szCs w:val="24"/>
          <w:lang w:eastAsia="zh-CN"/>
        </w:rPr>
        <w:t xml:space="preserve"> bir diğer ayağı hem klinik psikoloji yüksek lisans ve doktora öğrencilerine hem de sahada çalışan klinik psikologlara bu alanda uzmanlaşmaya destek verecek ileri eğitimler sunmaktır. BÜPAM bu doğrultuda çeşitli eğitim ve konferans çalışmaları düzenlemektedir.</w:t>
      </w:r>
    </w:p>
    <w:p w:rsidR="003A53E2" w:rsidRPr="003A53E2" w:rsidRDefault="003A53E2" w:rsidP="003A53E2">
      <w:pPr>
        <w:spacing w:after="120" w:line="300" w:lineRule="exact"/>
        <w:ind w:firstLine="708"/>
        <w:jc w:val="both"/>
        <w:rPr>
          <w:rFonts w:asciiTheme="majorHAnsi" w:eastAsia="Times New Roman" w:hAnsiTheme="majorHAnsi" w:cs="Times New Roman"/>
          <w:szCs w:val="24"/>
          <w:lang w:eastAsia="zh-CN"/>
        </w:rPr>
      </w:pPr>
      <w:r w:rsidRPr="003A53E2">
        <w:rPr>
          <w:rFonts w:asciiTheme="majorHAnsi" w:eastAsia="Times New Roman" w:hAnsiTheme="majorHAnsi" w:cs="Times New Roman"/>
          <w:szCs w:val="24"/>
          <w:lang w:eastAsia="zh-CN"/>
        </w:rPr>
        <w:t xml:space="preserve">BÜPAM’ın bir diğer önemli </w:t>
      </w:r>
      <w:proofErr w:type="gramStart"/>
      <w:r w:rsidRPr="003A53E2">
        <w:rPr>
          <w:rFonts w:asciiTheme="majorHAnsi" w:eastAsia="Times New Roman" w:hAnsiTheme="majorHAnsi" w:cs="Times New Roman"/>
          <w:szCs w:val="24"/>
          <w:lang w:eastAsia="zh-CN"/>
        </w:rPr>
        <w:t>misyonu</w:t>
      </w:r>
      <w:proofErr w:type="gramEnd"/>
      <w:r w:rsidRPr="003A53E2">
        <w:rPr>
          <w:rFonts w:asciiTheme="majorHAnsi" w:eastAsia="Times New Roman" w:hAnsiTheme="majorHAnsi" w:cs="Times New Roman"/>
          <w:szCs w:val="24"/>
          <w:lang w:eastAsia="zh-CN"/>
        </w:rPr>
        <w:t xml:space="preserve"> toplumdaki kırılgan gruplara yönelik önleyici müdahale programları geliştirmek ve saha uygulamalarını koordine etmektir. Merkezin önleyici </w:t>
      </w:r>
      <w:proofErr w:type="gramStart"/>
      <w:r w:rsidRPr="003A53E2">
        <w:rPr>
          <w:rFonts w:asciiTheme="majorHAnsi" w:eastAsia="Times New Roman" w:hAnsiTheme="majorHAnsi" w:cs="Times New Roman"/>
          <w:szCs w:val="24"/>
          <w:lang w:eastAsia="zh-CN"/>
        </w:rPr>
        <w:t>müdahale</w:t>
      </w:r>
      <w:proofErr w:type="gramEnd"/>
      <w:r w:rsidRPr="003A53E2">
        <w:rPr>
          <w:rFonts w:asciiTheme="majorHAnsi" w:eastAsia="Times New Roman" w:hAnsiTheme="majorHAnsi" w:cs="Times New Roman"/>
          <w:szCs w:val="24"/>
          <w:lang w:eastAsia="zh-CN"/>
        </w:rPr>
        <w:t xml:space="preserve"> çalışmaları kapsamındaki vizyonu koşulları ne olursa olsun, her çocuğun hayata iyi bir başlangıç yaparak gelişimsel potansiyelini gerçekleştirdiği bir toplumda büyümesidir. </w:t>
      </w:r>
    </w:p>
    <w:p w:rsidR="003A53E2" w:rsidRPr="003A53E2" w:rsidRDefault="003A53E2" w:rsidP="003A53E2">
      <w:pPr>
        <w:spacing w:after="120" w:line="300" w:lineRule="exact"/>
        <w:jc w:val="both"/>
        <w:rPr>
          <w:rFonts w:asciiTheme="majorHAnsi" w:eastAsia="Times New Roman" w:hAnsiTheme="majorHAnsi" w:cs="Times New Roman"/>
          <w:szCs w:val="24"/>
          <w:lang w:eastAsia="zh-CN"/>
        </w:rPr>
      </w:pPr>
      <w:r w:rsidRPr="003A53E2">
        <w:rPr>
          <w:rFonts w:asciiTheme="majorHAnsi" w:eastAsia="Times New Roman" w:hAnsiTheme="majorHAnsi" w:cs="Times New Roman"/>
          <w:szCs w:val="24"/>
          <w:lang w:eastAsia="zh-CN"/>
        </w:rPr>
        <w:t xml:space="preserve">Bu hedef doğrultusunda, </w:t>
      </w:r>
      <w:proofErr w:type="gramStart"/>
      <w:r w:rsidRPr="003A53E2">
        <w:rPr>
          <w:rFonts w:asciiTheme="majorHAnsi" w:eastAsia="Times New Roman" w:hAnsiTheme="majorHAnsi" w:cs="Times New Roman"/>
          <w:szCs w:val="24"/>
          <w:lang w:eastAsia="zh-CN"/>
        </w:rPr>
        <w:t>misyonumuz</w:t>
      </w:r>
      <w:proofErr w:type="gramEnd"/>
      <w:r w:rsidRPr="003A53E2">
        <w:rPr>
          <w:rFonts w:asciiTheme="majorHAnsi" w:eastAsia="Times New Roman" w:hAnsiTheme="majorHAnsi" w:cs="Times New Roman"/>
          <w:szCs w:val="24"/>
          <w:lang w:eastAsia="zh-CN"/>
        </w:rPr>
        <w:t>:</w:t>
      </w:r>
    </w:p>
    <w:p w:rsidR="003A53E2" w:rsidRPr="003A53E2" w:rsidRDefault="003A53E2" w:rsidP="003A53E2">
      <w:pPr>
        <w:numPr>
          <w:ilvl w:val="0"/>
          <w:numId w:val="23"/>
        </w:numPr>
        <w:spacing w:after="120" w:line="300" w:lineRule="exact"/>
        <w:contextualSpacing/>
        <w:jc w:val="both"/>
        <w:rPr>
          <w:rFonts w:asciiTheme="majorHAnsi" w:eastAsia="Times New Roman" w:hAnsiTheme="majorHAnsi" w:cs="Times New Roman"/>
          <w:szCs w:val="24"/>
          <w:lang w:eastAsia="zh-CN"/>
        </w:rPr>
      </w:pPr>
      <w:r w:rsidRPr="003A53E2">
        <w:rPr>
          <w:rFonts w:asciiTheme="majorHAnsi" w:eastAsia="Times New Roman" w:hAnsiTheme="majorHAnsi" w:cs="Times New Roman"/>
          <w:szCs w:val="24"/>
          <w:lang w:eastAsia="zh-CN"/>
        </w:rPr>
        <w:t>0-3 yaş döneminin kritik önemine dair toplumda farkındalık yaratmak,</w:t>
      </w:r>
    </w:p>
    <w:p w:rsidR="003A53E2" w:rsidRPr="003A53E2" w:rsidRDefault="003A53E2" w:rsidP="003A53E2">
      <w:pPr>
        <w:numPr>
          <w:ilvl w:val="0"/>
          <w:numId w:val="23"/>
        </w:numPr>
        <w:spacing w:after="120" w:line="300" w:lineRule="exact"/>
        <w:contextualSpacing/>
        <w:jc w:val="both"/>
        <w:rPr>
          <w:rFonts w:asciiTheme="majorHAnsi" w:eastAsia="Times New Roman" w:hAnsiTheme="majorHAnsi" w:cs="Times New Roman"/>
          <w:szCs w:val="24"/>
          <w:lang w:eastAsia="zh-CN"/>
        </w:rPr>
      </w:pPr>
      <w:r w:rsidRPr="003A53E2">
        <w:rPr>
          <w:rFonts w:asciiTheme="majorHAnsi" w:eastAsia="Times New Roman" w:hAnsiTheme="majorHAnsi" w:cs="Times New Roman"/>
          <w:szCs w:val="24"/>
          <w:lang w:eastAsia="zh-CN"/>
        </w:rPr>
        <w:t>Bilimsel veriler ışığında erken çocukluk gelişimine yönelik aile-odaklı erken müdahale programları geliştirmek,</w:t>
      </w:r>
    </w:p>
    <w:p w:rsidR="003A53E2" w:rsidRPr="003A53E2" w:rsidRDefault="003A53E2" w:rsidP="003A53E2">
      <w:pPr>
        <w:numPr>
          <w:ilvl w:val="0"/>
          <w:numId w:val="23"/>
        </w:numPr>
        <w:spacing w:after="120" w:line="300" w:lineRule="exact"/>
        <w:contextualSpacing/>
        <w:jc w:val="both"/>
        <w:rPr>
          <w:rFonts w:asciiTheme="majorHAnsi" w:eastAsia="Times New Roman" w:hAnsiTheme="majorHAnsi" w:cs="Times New Roman"/>
          <w:szCs w:val="24"/>
          <w:lang w:eastAsia="zh-CN"/>
        </w:rPr>
      </w:pPr>
      <w:r w:rsidRPr="003A53E2">
        <w:rPr>
          <w:rFonts w:asciiTheme="majorHAnsi" w:eastAsia="Times New Roman" w:hAnsiTheme="majorHAnsi" w:cs="Times New Roman"/>
          <w:szCs w:val="24"/>
          <w:lang w:eastAsia="zh-CN"/>
        </w:rPr>
        <w:t>Yoksulluk, göç gibi olumsuzluklar içeren koşullarda yaşayan ailelerdeki bakım verenler ile çocukların bu programlardan faydalanması için yerel yönetimler, sivil toplum kuruluşları, kamu ve özel sektör kuruluşları ile işbirlikleri geliştirmek,</w:t>
      </w:r>
    </w:p>
    <w:p w:rsidR="003A53E2" w:rsidRPr="003A53E2" w:rsidRDefault="003A53E2" w:rsidP="003A53E2">
      <w:pPr>
        <w:numPr>
          <w:ilvl w:val="0"/>
          <w:numId w:val="23"/>
        </w:numPr>
        <w:spacing w:after="120" w:line="300" w:lineRule="exact"/>
        <w:contextualSpacing/>
        <w:jc w:val="both"/>
        <w:rPr>
          <w:rFonts w:asciiTheme="majorHAnsi" w:eastAsia="Times New Roman" w:hAnsiTheme="majorHAnsi" w:cs="Times New Roman"/>
          <w:szCs w:val="24"/>
          <w:lang w:eastAsia="zh-CN"/>
        </w:rPr>
      </w:pPr>
      <w:r w:rsidRPr="003A53E2">
        <w:rPr>
          <w:rFonts w:asciiTheme="majorHAnsi" w:eastAsia="Times New Roman" w:hAnsiTheme="majorHAnsi" w:cs="Times New Roman"/>
          <w:szCs w:val="24"/>
          <w:lang w:eastAsia="zh-CN"/>
        </w:rPr>
        <w:t>Erken müdahale programlarını uygulayan saha ekiplerine destek sağlamak,</w:t>
      </w:r>
    </w:p>
    <w:p w:rsidR="003A53E2" w:rsidRPr="003A53E2" w:rsidRDefault="003A53E2" w:rsidP="003A53E2">
      <w:pPr>
        <w:numPr>
          <w:ilvl w:val="0"/>
          <w:numId w:val="23"/>
        </w:numPr>
        <w:spacing w:after="120" w:line="300" w:lineRule="exact"/>
        <w:contextualSpacing/>
        <w:jc w:val="both"/>
        <w:rPr>
          <w:rFonts w:asciiTheme="majorHAnsi" w:eastAsia="Times New Roman" w:hAnsiTheme="majorHAnsi" w:cs="Times New Roman"/>
          <w:szCs w:val="24"/>
          <w:lang w:eastAsia="zh-CN"/>
        </w:rPr>
      </w:pPr>
      <w:r w:rsidRPr="003A53E2">
        <w:rPr>
          <w:rFonts w:asciiTheme="majorHAnsi" w:eastAsia="Times New Roman" w:hAnsiTheme="majorHAnsi" w:cs="Times New Roman"/>
          <w:szCs w:val="24"/>
          <w:lang w:eastAsia="zh-CN"/>
        </w:rPr>
        <w:t>Programların aileler ve çocuklar üzerindeki etkilerini araştırmak,</w:t>
      </w:r>
    </w:p>
    <w:p w:rsidR="003A53E2" w:rsidRPr="003A53E2" w:rsidRDefault="003A53E2" w:rsidP="003A53E2">
      <w:pPr>
        <w:numPr>
          <w:ilvl w:val="0"/>
          <w:numId w:val="23"/>
        </w:numPr>
        <w:spacing w:after="120" w:line="300" w:lineRule="exact"/>
        <w:contextualSpacing/>
        <w:jc w:val="both"/>
        <w:rPr>
          <w:rFonts w:asciiTheme="majorHAnsi" w:eastAsia="Times New Roman" w:hAnsiTheme="majorHAnsi" w:cs="Times New Roman"/>
          <w:szCs w:val="24"/>
          <w:lang w:eastAsia="zh-CN"/>
        </w:rPr>
      </w:pPr>
      <w:r w:rsidRPr="003A53E2">
        <w:rPr>
          <w:rFonts w:asciiTheme="majorHAnsi" w:eastAsia="Times New Roman" w:hAnsiTheme="majorHAnsi" w:cs="Times New Roman"/>
          <w:szCs w:val="24"/>
          <w:lang w:eastAsia="zh-CN"/>
        </w:rPr>
        <w:t>Kanıt-temelli programların daha fazla sayıda çocuk ve aileye ulaşmasını sağlamaktır.</w:t>
      </w:r>
    </w:p>
    <w:p w:rsidR="003A53E2" w:rsidRPr="003A53E2" w:rsidRDefault="003A53E2" w:rsidP="003A53E2">
      <w:pPr>
        <w:spacing w:after="120" w:line="300" w:lineRule="exact"/>
        <w:ind w:left="720"/>
        <w:jc w:val="both"/>
        <w:rPr>
          <w:rFonts w:asciiTheme="majorHAnsi" w:eastAsia="Times New Roman" w:hAnsiTheme="majorHAnsi" w:cs="Times New Roman"/>
          <w:szCs w:val="24"/>
          <w:highlight w:val="yellow"/>
          <w:lang w:eastAsia="zh-CN"/>
        </w:rPr>
      </w:pPr>
      <w:r w:rsidRPr="003A53E2">
        <w:rPr>
          <w:rFonts w:asciiTheme="majorHAnsi" w:eastAsia="Times New Roman" w:hAnsiTheme="majorHAnsi" w:cs="Times New Roman"/>
          <w:szCs w:val="24"/>
          <w:lang w:eastAsia="zh-CN"/>
        </w:rPr>
        <w:t xml:space="preserve">BÜPAM’ın bir diğer temel hedefi psikoloji alanında özellikle klinik psikoloji ile ilişkilenen alanlarda temel araştırmalar ve uygulamaya dayalı araştırmalar yürütmektir. BÜPAM’ın </w:t>
      </w:r>
      <w:proofErr w:type="gramStart"/>
      <w:r w:rsidRPr="003A53E2">
        <w:rPr>
          <w:rFonts w:asciiTheme="majorHAnsi" w:eastAsia="Times New Roman" w:hAnsiTheme="majorHAnsi" w:cs="Times New Roman"/>
          <w:szCs w:val="24"/>
          <w:lang w:eastAsia="zh-CN"/>
        </w:rPr>
        <w:t>vizyonu</w:t>
      </w:r>
      <w:proofErr w:type="gramEnd"/>
      <w:r w:rsidRPr="003A53E2">
        <w:rPr>
          <w:rFonts w:asciiTheme="majorHAnsi" w:eastAsia="Times New Roman" w:hAnsiTheme="majorHAnsi" w:cs="Times New Roman"/>
          <w:szCs w:val="24"/>
          <w:lang w:eastAsia="zh-CN"/>
        </w:rPr>
        <w:t>, ülkemizde iyi bir klinik donanımla yetişmiş uzman klinik psikologların yetişmesine katkıda bulunmaktır.</w:t>
      </w:r>
    </w:p>
    <w:p w:rsidR="00BA239E" w:rsidRDefault="00BA239E" w:rsidP="003A53E2">
      <w:pPr>
        <w:spacing w:after="0" w:line="300" w:lineRule="exact"/>
        <w:jc w:val="both"/>
        <w:rPr>
          <w:rFonts w:ascii="Cambria" w:eastAsia="Calibri" w:hAnsi="Cambria" w:cs="Times New Roman"/>
          <w:b/>
          <w:color w:val="365F91" w:themeColor="accent1" w:themeShade="BF"/>
          <w:sz w:val="28"/>
          <w:szCs w:val="28"/>
          <w:lang w:eastAsia="tr-TR"/>
        </w:rPr>
      </w:pPr>
    </w:p>
    <w:p w:rsidR="007F0207" w:rsidRDefault="00522364" w:rsidP="002A1FA3">
      <w:pPr>
        <w:spacing w:after="0" w:line="300" w:lineRule="exact"/>
        <w:jc w:val="both"/>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F96350">
      <w:pPr>
        <w:spacing w:after="0" w:line="300" w:lineRule="exact"/>
        <w:jc w:val="both"/>
        <w:rPr>
          <w:rFonts w:asciiTheme="majorHAnsi" w:eastAsia="Calibri" w:hAnsiTheme="majorHAnsi" w:cs="InterstateLight"/>
          <w:lang w:val="de-DE"/>
        </w:rPr>
      </w:pPr>
    </w:p>
    <w:p w:rsidR="00F96350" w:rsidRPr="00B26894" w:rsidRDefault="00F96350" w:rsidP="00F96350">
      <w:pPr>
        <w:spacing w:after="0" w:line="300" w:lineRule="exact"/>
        <w:ind w:firstLine="708"/>
        <w:jc w:val="both"/>
        <w:rPr>
          <w:rFonts w:asciiTheme="majorHAnsi" w:eastAsia="Times New Roman" w:hAnsiTheme="majorHAnsi" w:cs="Times New Roman"/>
          <w:bCs/>
          <w:lang w:eastAsia="zh-CN"/>
        </w:rPr>
      </w:pPr>
      <w:r w:rsidRPr="00B26894">
        <w:rPr>
          <w:rFonts w:asciiTheme="majorHAnsi" w:eastAsia="Times New Roman" w:hAnsiTheme="majorHAnsi" w:cs="Times New Roman"/>
          <w:bCs/>
          <w:lang w:eastAsia="zh-CN"/>
        </w:rPr>
        <w:t xml:space="preserve">Psikoloji Bölümüne bağlı olarak çalışan BÜPAM 1994 yılında kurulmuştur. Yukarıda da belirtildiği gibi BÜPAM’ın temel amacı nitelikli klinik psikolog yetiştirmeyi amaçlayan Psikoloji Bölümü Klinik Yüksek Lisans ve Doktora programlarında öğrenim gören öğrencilerin psikoterapi, psikolojik değerlendirme gibi uygulama alanlarında deneyim kazanmaları için donanımlı bir kurumsal altyapı sağlamaktır. Klinik süpervizyon altında yüksek lisans ve doktora öğrencilerinin </w:t>
      </w:r>
      <w:r w:rsidRPr="00B26894">
        <w:rPr>
          <w:rFonts w:asciiTheme="majorHAnsi" w:eastAsia="Times New Roman" w:hAnsiTheme="majorHAnsi" w:cs="Times New Roman"/>
          <w:bCs/>
          <w:lang w:eastAsia="zh-CN"/>
        </w:rPr>
        <w:lastRenderedPageBreak/>
        <w:t xml:space="preserve">yürüttükleri bireysel psikoterapi uygulamaları sayesinde üniversitemiz öğrencilerine kaliteli psikolojik hizmet sunmak da amaçlardan bir tanesidir. </w:t>
      </w:r>
    </w:p>
    <w:p w:rsidR="00F96350" w:rsidRPr="00B26894" w:rsidRDefault="00F96350" w:rsidP="00F96350">
      <w:pPr>
        <w:spacing w:after="0" w:line="300" w:lineRule="exact"/>
        <w:ind w:firstLine="708"/>
        <w:jc w:val="both"/>
        <w:rPr>
          <w:rFonts w:asciiTheme="majorHAnsi" w:eastAsia="Times New Roman" w:hAnsiTheme="majorHAnsi" w:cs="Times New Roman"/>
          <w:bCs/>
          <w:lang w:eastAsia="zh-CN"/>
        </w:rPr>
      </w:pPr>
      <w:r w:rsidRPr="00B26894">
        <w:rPr>
          <w:rFonts w:asciiTheme="majorHAnsi" w:eastAsia="Times New Roman" w:hAnsiTheme="majorHAnsi" w:cs="Times New Roman"/>
          <w:bCs/>
          <w:lang w:eastAsia="zh-CN"/>
        </w:rPr>
        <w:t>BÜPAM her yıl alanda uzman diğer kuruluşlar ve uzmanlarla işbirliği yaparak çeşitli eğitim ve alana ilişkin konferans/</w:t>
      </w:r>
      <w:proofErr w:type="gramStart"/>
      <w:r w:rsidRPr="00B26894">
        <w:rPr>
          <w:rFonts w:asciiTheme="majorHAnsi" w:eastAsia="Times New Roman" w:hAnsiTheme="majorHAnsi" w:cs="Times New Roman"/>
          <w:bCs/>
          <w:lang w:eastAsia="zh-CN"/>
        </w:rPr>
        <w:t>sempozyum</w:t>
      </w:r>
      <w:proofErr w:type="gramEnd"/>
      <w:r w:rsidRPr="00B26894">
        <w:rPr>
          <w:rFonts w:asciiTheme="majorHAnsi" w:eastAsia="Times New Roman" w:hAnsiTheme="majorHAnsi" w:cs="Times New Roman"/>
          <w:bCs/>
          <w:lang w:eastAsia="zh-CN"/>
        </w:rPr>
        <w:t xml:space="preserve">/seminer çalışmaları yürütmektedir. Bu çalışmaların amacı ulusal ve uluslararası düzeyde psikoterapi alanında uzman kişiler ile alanda gelişmekte olan yüksek lisans, doktora ve yeni mezun uzmanların mesleki gelişimlerine destek vermektir. </w:t>
      </w:r>
    </w:p>
    <w:p w:rsidR="002A1FA3" w:rsidRPr="00B26894" w:rsidRDefault="00F96350" w:rsidP="00F96350">
      <w:pPr>
        <w:spacing w:after="0" w:line="300" w:lineRule="exact"/>
        <w:ind w:firstLine="708"/>
        <w:jc w:val="both"/>
        <w:rPr>
          <w:rFonts w:asciiTheme="majorHAnsi" w:eastAsia="Times New Roman" w:hAnsiTheme="majorHAnsi" w:cs="Times New Roman"/>
          <w:bCs/>
          <w:lang w:eastAsia="zh-CN"/>
        </w:rPr>
      </w:pPr>
      <w:r w:rsidRPr="00B26894">
        <w:rPr>
          <w:rFonts w:asciiTheme="majorHAnsi" w:eastAsia="Times New Roman" w:hAnsiTheme="majorHAnsi" w:cs="Times New Roman"/>
          <w:bCs/>
          <w:lang w:eastAsia="zh-CN"/>
        </w:rPr>
        <w:t>BÜPAM’da yürütülen araştırmalar temelde iki gruba ayrılır. Birinci grupta ihtiyaç analizine dayalı, psikososyal gelişim alanlarına ilişkin mevcut durumların tespitlerine yönelik temel nitel ve nicel araştırmalar yürütülmektedir. İkinci grupta psikososyal gelişime destek kapsamında, erken çocukluk, ergenlik, anne eğitimleri gibi alanlarda önleyici ve iyileştirici mahiyete sahip programlar geliştirilip, bu uygulama programlarının etkinliğinin değerlendirilmesini içermektedir. Böylece alana etkinliği araştırılmış programların yaygınlaştırılması için altyapı çalışmaları yapılmış olmaktadır.</w:t>
      </w:r>
    </w:p>
    <w:p w:rsidR="00F96350" w:rsidRPr="00B26894" w:rsidRDefault="00F96350" w:rsidP="00F96350">
      <w:pPr>
        <w:spacing w:after="0" w:line="300" w:lineRule="exact"/>
        <w:ind w:firstLine="708"/>
        <w:jc w:val="both"/>
        <w:rPr>
          <w:rFonts w:asciiTheme="majorHAnsi" w:eastAsia="Calibri" w:hAnsiTheme="majorHAnsi" w:cs="InterstateLight"/>
          <w:lang w:val="de-DE"/>
        </w:rPr>
      </w:pPr>
    </w:p>
    <w:p w:rsidR="002471B2" w:rsidRDefault="002471B2" w:rsidP="00E81778">
      <w:pPr>
        <w:spacing w:after="0" w:line="300" w:lineRule="exact"/>
        <w:jc w:val="both"/>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2471B2" w:rsidRDefault="002471B2" w:rsidP="00E81778">
      <w:pPr>
        <w:pStyle w:val="ListeParagraf"/>
        <w:spacing w:after="0" w:line="300" w:lineRule="exact"/>
        <w:ind w:left="0"/>
        <w:jc w:val="both"/>
        <w:rPr>
          <w:rFonts w:asciiTheme="majorHAnsi" w:eastAsia="Calibri" w:hAnsiTheme="majorHAnsi" w:cs="InterstateLight"/>
          <w:lang w:val="de-DE"/>
        </w:rPr>
      </w:pPr>
    </w:p>
    <w:p w:rsidR="001E202B" w:rsidRPr="00B26894" w:rsidRDefault="001E202B" w:rsidP="001E202B">
      <w:pPr>
        <w:spacing w:before="60" w:after="0" w:line="300" w:lineRule="exact"/>
        <w:ind w:firstLine="425"/>
        <w:jc w:val="both"/>
        <w:rPr>
          <w:rFonts w:asciiTheme="majorHAnsi" w:eastAsia="Times New Roman" w:hAnsiTheme="majorHAnsi" w:cs="Times New Roman"/>
          <w:bCs/>
          <w:szCs w:val="24"/>
          <w:lang w:eastAsia="zh-CN"/>
        </w:rPr>
      </w:pPr>
      <w:r w:rsidRPr="00B26894">
        <w:rPr>
          <w:rFonts w:asciiTheme="majorHAnsi" w:eastAsia="Times New Roman" w:hAnsiTheme="majorHAnsi" w:cs="Times New Roman"/>
          <w:bCs/>
          <w:szCs w:val="24"/>
          <w:lang w:eastAsia="zh-CN"/>
        </w:rPr>
        <w:t xml:space="preserve">BÜPAM’ın temel politika ve öncelikleri klinik psikoloji alanında bilimsel ve nitelikli uygulamalar ve araştırmalar yapmaktır. Bu çalışmalardan üretilecek bilimsel yöntem ve bulguların alanda yetişmekte olan öğrenciler ve uzmanlarla paylaşılması hedeflerimiz arasındadır. Merkezimizin bir diğer önceliği toplum yararına önleyici ve tedavi edici müdahalelerin geliştirilmesi ve bu hizmetlerin toplumun özellikle kırılgan gruplarına ulaştırılarak yaygınlaştırılmasıdır. Bu çerçevede BÜPAM’ın son yıllarda yürütmekte olduğu eken çocukluk dönemine ilişkin ebeveynlerin bilgi ve becerilerini geliştirme odaklı araştırma ve uygulama projesi devem etmektedir. </w:t>
      </w:r>
    </w:p>
    <w:p w:rsidR="001E202B" w:rsidRPr="001E202B" w:rsidRDefault="001E202B" w:rsidP="001E202B">
      <w:pPr>
        <w:spacing w:before="60" w:after="0" w:line="300" w:lineRule="exact"/>
        <w:ind w:firstLine="425"/>
        <w:jc w:val="both"/>
        <w:rPr>
          <w:rFonts w:asciiTheme="majorHAnsi" w:eastAsia="Times New Roman" w:hAnsiTheme="majorHAnsi" w:cs="Times New Roman"/>
          <w:bCs/>
          <w:szCs w:val="24"/>
          <w:lang w:eastAsia="zh-CN"/>
        </w:rPr>
      </w:pPr>
    </w:p>
    <w:p w:rsidR="000B2147" w:rsidRPr="000B2147" w:rsidRDefault="000B2147" w:rsidP="000B2147">
      <w:pPr>
        <w:spacing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0B2147">
        <w:rPr>
          <w:rFonts w:ascii="Cambria" w:eastAsia="Calibri" w:hAnsi="Cambria" w:cs="Times New Roman"/>
          <w:b/>
          <w:color w:val="365F91" w:themeColor="accent1" w:themeShade="BF"/>
          <w:sz w:val="28"/>
          <w:szCs w:val="28"/>
          <w:lang w:eastAsia="tr-TR"/>
        </w:rPr>
        <w:t>MERKEZDE YETKİ, GÖREV VE SORUMLULUKLAR</w:t>
      </w:r>
    </w:p>
    <w:p w:rsidR="000B2147" w:rsidRPr="00B26894" w:rsidRDefault="000B2147" w:rsidP="003735EA">
      <w:pPr>
        <w:spacing w:after="0" w:line="300" w:lineRule="exact"/>
        <w:jc w:val="both"/>
        <w:rPr>
          <w:rFonts w:asciiTheme="majorHAnsi" w:eastAsia="Calibri" w:hAnsiTheme="majorHAnsi" w:cs="InterstateLight"/>
          <w:b/>
          <w:lang w:val="de-DE"/>
        </w:rPr>
      </w:pPr>
      <w:r w:rsidRPr="00B26894">
        <w:rPr>
          <w:rFonts w:asciiTheme="majorHAnsi" w:eastAsia="Calibri" w:hAnsiTheme="majorHAnsi" w:cs="InterstateLight"/>
          <w:b/>
          <w:lang w:val="de-DE"/>
        </w:rPr>
        <w:t>Örgüt Yapısı</w:t>
      </w:r>
    </w:p>
    <w:p w:rsidR="003735EA" w:rsidRPr="00B26894" w:rsidRDefault="003735EA" w:rsidP="003735EA">
      <w:pPr>
        <w:spacing w:after="0" w:line="300" w:lineRule="exact"/>
        <w:jc w:val="both"/>
        <w:rPr>
          <w:rFonts w:asciiTheme="majorHAnsi" w:eastAsia="Calibri" w:hAnsiTheme="majorHAnsi" w:cs="InterstateLight"/>
          <w:b/>
          <w:lang w:val="de-DE"/>
        </w:rPr>
      </w:pPr>
    </w:p>
    <w:p w:rsidR="003735EA" w:rsidRPr="00B26894" w:rsidRDefault="003735EA" w:rsidP="003735EA">
      <w:pPr>
        <w:spacing w:after="0" w:line="300" w:lineRule="exact"/>
        <w:jc w:val="both"/>
        <w:rPr>
          <w:rFonts w:asciiTheme="majorHAnsi" w:eastAsia="Times New Roman" w:hAnsiTheme="majorHAnsi" w:cs="Times New Roman"/>
          <w:lang w:eastAsia="zh-CN"/>
        </w:rPr>
      </w:pPr>
      <w:r w:rsidRPr="00B26894">
        <w:rPr>
          <w:rFonts w:asciiTheme="majorHAnsi" w:eastAsia="Times New Roman" w:hAnsiTheme="majorHAnsi" w:cs="Times New Roman"/>
          <w:b/>
          <w:lang w:eastAsia="zh-CN"/>
        </w:rPr>
        <w:t>Merkez Müdürü</w:t>
      </w:r>
      <w:r w:rsidRPr="00B26894">
        <w:rPr>
          <w:rFonts w:asciiTheme="majorHAnsi" w:eastAsia="Times New Roman" w:hAnsiTheme="majorHAnsi" w:cs="Times New Roman"/>
          <w:lang w:eastAsia="zh-CN"/>
        </w:rPr>
        <w:t>: Dr. Öğr. Üyesi Yasemin Sohtorik İlkmen</w:t>
      </w:r>
    </w:p>
    <w:p w:rsidR="003735EA" w:rsidRPr="00B26894" w:rsidRDefault="003735EA" w:rsidP="003735EA">
      <w:pPr>
        <w:spacing w:after="0" w:line="300" w:lineRule="exact"/>
        <w:jc w:val="both"/>
        <w:rPr>
          <w:rFonts w:asciiTheme="majorHAnsi" w:eastAsia="Times New Roman" w:hAnsiTheme="majorHAnsi" w:cs="Times New Roman"/>
          <w:lang w:eastAsia="zh-CN"/>
        </w:rPr>
      </w:pPr>
      <w:r w:rsidRPr="00B26894">
        <w:rPr>
          <w:rFonts w:asciiTheme="majorHAnsi" w:eastAsia="Times New Roman" w:hAnsiTheme="majorHAnsi" w:cs="Times New Roman"/>
          <w:b/>
          <w:lang w:eastAsia="zh-CN"/>
        </w:rPr>
        <w:t>Merkez Müdür Yardımcıları</w:t>
      </w:r>
      <w:r w:rsidRPr="00B26894">
        <w:rPr>
          <w:rFonts w:asciiTheme="majorHAnsi" w:eastAsia="Times New Roman" w:hAnsiTheme="majorHAnsi" w:cs="Times New Roman"/>
          <w:lang w:eastAsia="zh-CN"/>
        </w:rPr>
        <w:t>: Prof. Dr. Feyza Çorapçı</w:t>
      </w:r>
    </w:p>
    <w:p w:rsidR="003735EA" w:rsidRPr="00B26894" w:rsidRDefault="003735EA" w:rsidP="003735EA">
      <w:pPr>
        <w:spacing w:after="0" w:line="300" w:lineRule="exact"/>
        <w:jc w:val="both"/>
        <w:rPr>
          <w:rFonts w:asciiTheme="majorHAnsi" w:eastAsia="Times New Roman" w:hAnsiTheme="majorHAnsi" w:cs="Times New Roman"/>
          <w:lang w:eastAsia="zh-CN"/>
        </w:rPr>
      </w:pPr>
      <w:r w:rsidRPr="00B26894">
        <w:rPr>
          <w:rFonts w:asciiTheme="majorHAnsi" w:eastAsia="Times New Roman" w:hAnsiTheme="majorHAnsi" w:cs="Times New Roman"/>
          <w:b/>
          <w:lang w:eastAsia="zh-CN"/>
        </w:rPr>
        <w:t>Yönetim Kurulu Üyeleri</w:t>
      </w:r>
      <w:r w:rsidRPr="00B26894">
        <w:rPr>
          <w:rFonts w:asciiTheme="majorHAnsi" w:eastAsia="Times New Roman" w:hAnsiTheme="majorHAnsi" w:cs="Times New Roman"/>
          <w:lang w:eastAsia="zh-CN"/>
        </w:rPr>
        <w:t>: Prof. Dr. Ali İ. Tekcan, Prof. Dr. Feyza Çorapçı, Doç. Dr. Güneş Ünal, Dr. Öğr. Üyesi Nur Soylu Yalçınkaya, Dr. Öğr. Üyesi Yasemin Sohtorik İlkmen</w:t>
      </w:r>
    </w:p>
    <w:p w:rsidR="003735EA" w:rsidRPr="00B26894" w:rsidRDefault="003735EA" w:rsidP="003735EA">
      <w:pPr>
        <w:spacing w:after="0" w:line="300" w:lineRule="exact"/>
        <w:contextualSpacing/>
        <w:jc w:val="both"/>
        <w:rPr>
          <w:rFonts w:asciiTheme="majorHAnsi" w:eastAsia="Times New Roman" w:hAnsiTheme="majorHAnsi" w:cs="Times New Roman"/>
          <w:lang w:eastAsia="zh-CN"/>
        </w:rPr>
      </w:pPr>
      <w:r w:rsidRPr="00B26894">
        <w:rPr>
          <w:rFonts w:asciiTheme="majorHAnsi" w:eastAsia="Times New Roman" w:hAnsiTheme="majorHAnsi" w:cs="Times New Roman"/>
          <w:b/>
          <w:lang w:eastAsia="zh-CN"/>
        </w:rPr>
        <w:t>Merkez Genel Kurulu Üyeleri</w:t>
      </w:r>
      <w:r w:rsidRPr="00B26894">
        <w:rPr>
          <w:rFonts w:asciiTheme="majorHAnsi" w:eastAsia="Times New Roman" w:hAnsiTheme="majorHAnsi" w:cs="Times New Roman"/>
          <w:lang w:eastAsia="zh-CN"/>
        </w:rPr>
        <w:t>: (Tüm Psikoloji Bölümü öğretim üyeleri) Prof. Dr. Ali İ. Tekcan, Prof. Dr. Feyza Çorapçı, Doç. Dr. İnci Ayhan, Doç. Dr. Güneş Ünal, Doç. Dr. Gaye Soley, Doç. Dr. Esra Mungan, Dr. Öğr. Üyesi Deniz Tahiroğul, Dr. Öğr. Üyesi Nur Soylu Yalçınkaya, Dr. Öğr. Üyesi Elif Aysimi Duman, Dr. Öğr. Üyesi Yasemin Sohtorik İlkmen</w:t>
      </w:r>
    </w:p>
    <w:p w:rsidR="00C76248" w:rsidRPr="00B26894" w:rsidRDefault="00C76248" w:rsidP="003735EA">
      <w:pPr>
        <w:spacing w:after="0" w:line="300" w:lineRule="exact"/>
        <w:contextualSpacing/>
        <w:jc w:val="both"/>
        <w:rPr>
          <w:rFonts w:asciiTheme="majorHAnsi" w:eastAsia="Times New Roman" w:hAnsiTheme="majorHAnsi" w:cs="Times New Roman"/>
          <w:lang w:eastAsia="zh-CN"/>
        </w:rPr>
      </w:pPr>
    </w:p>
    <w:p w:rsidR="00C76248" w:rsidRDefault="00C76248" w:rsidP="003735EA">
      <w:pPr>
        <w:spacing w:after="0" w:line="300" w:lineRule="exact"/>
        <w:contextualSpacing/>
        <w:jc w:val="both"/>
        <w:rPr>
          <w:rFonts w:asciiTheme="majorHAnsi" w:eastAsia="Times New Roman" w:hAnsiTheme="majorHAnsi" w:cs="Times New Roman"/>
          <w:lang w:eastAsia="zh-CN"/>
        </w:rPr>
      </w:pPr>
    </w:p>
    <w:p w:rsidR="0061139A" w:rsidRPr="0061139A" w:rsidRDefault="0061139A" w:rsidP="0061139A">
      <w:pPr>
        <w:spacing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Pr="0061139A">
        <w:rPr>
          <w:rFonts w:ascii="Cambria" w:eastAsia="Calibri" w:hAnsi="Cambria" w:cs="Times New Roman"/>
          <w:b/>
          <w:color w:val="365F91" w:themeColor="accent1" w:themeShade="BF"/>
          <w:sz w:val="28"/>
          <w:szCs w:val="28"/>
          <w:lang w:eastAsia="tr-TR"/>
        </w:rPr>
        <w:t>MERKEZ TARAFINDAN DÜZENLENEN EĞİTİM PROGRAMLARI</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1417"/>
        <w:gridCol w:w="4189"/>
        <w:gridCol w:w="2190"/>
      </w:tblGrid>
      <w:tr w:rsidR="00506B20" w:rsidRPr="00B26894" w:rsidTr="00A110DB">
        <w:trPr>
          <w:trHeight w:val="854"/>
          <w:jc w:val="center"/>
        </w:trPr>
        <w:tc>
          <w:tcPr>
            <w:tcW w:w="1980" w:type="dxa"/>
            <w:shd w:val="clear" w:color="auto" w:fill="auto"/>
            <w:vAlign w:val="center"/>
          </w:tcPr>
          <w:p w:rsidR="00506B20" w:rsidRPr="00B26894" w:rsidRDefault="00506B20" w:rsidP="00506B20">
            <w:pPr>
              <w:spacing w:after="0" w:line="240" w:lineRule="auto"/>
              <w:jc w:val="center"/>
              <w:rPr>
                <w:rFonts w:asciiTheme="majorHAnsi" w:eastAsia="Times New Roman" w:hAnsiTheme="majorHAnsi" w:cs="Times New Roman"/>
                <w:b/>
                <w:bCs/>
                <w:lang w:val="en-US"/>
              </w:rPr>
            </w:pPr>
            <w:r w:rsidRPr="00B26894">
              <w:rPr>
                <w:rFonts w:asciiTheme="majorHAnsi" w:eastAsia="Times New Roman" w:hAnsiTheme="majorHAnsi" w:cs="Times New Roman"/>
                <w:b/>
                <w:bCs/>
                <w:lang w:val="en-US"/>
              </w:rPr>
              <w:t>Faaliyetin Tarihi (leri)</w:t>
            </w:r>
          </w:p>
        </w:tc>
        <w:tc>
          <w:tcPr>
            <w:tcW w:w="1417" w:type="dxa"/>
            <w:shd w:val="clear" w:color="auto" w:fill="auto"/>
            <w:vAlign w:val="center"/>
          </w:tcPr>
          <w:p w:rsidR="00506B20" w:rsidRPr="00B26894" w:rsidRDefault="00506B20" w:rsidP="00506B20">
            <w:pPr>
              <w:spacing w:after="0" w:line="240" w:lineRule="auto"/>
              <w:jc w:val="center"/>
              <w:rPr>
                <w:rFonts w:asciiTheme="majorHAnsi" w:eastAsia="Times New Roman" w:hAnsiTheme="majorHAnsi" w:cs="Times New Roman"/>
                <w:b/>
                <w:bCs/>
                <w:lang w:val="en-US"/>
              </w:rPr>
            </w:pPr>
            <w:r w:rsidRPr="00B26894">
              <w:rPr>
                <w:rFonts w:asciiTheme="majorHAnsi" w:eastAsia="Times New Roman" w:hAnsiTheme="majorHAnsi" w:cs="Times New Roman"/>
                <w:b/>
                <w:bCs/>
                <w:lang w:val="en-US"/>
              </w:rPr>
              <w:t>Faaliyetin Türü</w:t>
            </w:r>
          </w:p>
        </w:tc>
        <w:tc>
          <w:tcPr>
            <w:tcW w:w="4189" w:type="dxa"/>
            <w:shd w:val="clear" w:color="auto" w:fill="auto"/>
            <w:vAlign w:val="center"/>
          </w:tcPr>
          <w:p w:rsidR="00506B20" w:rsidRPr="00B26894" w:rsidRDefault="00506B20" w:rsidP="00506B20">
            <w:pPr>
              <w:spacing w:after="0" w:line="240" w:lineRule="auto"/>
              <w:jc w:val="center"/>
              <w:rPr>
                <w:rFonts w:asciiTheme="majorHAnsi" w:eastAsia="Times New Roman" w:hAnsiTheme="majorHAnsi" w:cs="Times New Roman"/>
                <w:b/>
                <w:bCs/>
                <w:lang w:val="en-US"/>
              </w:rPr>
            </w:pPr>
            <w:r w:rsidRPr="00B26894">
              <w:rPr>
                <w:rFonts w:asciiTheme="majorHAnsi" w:eastAsia="Times New Roman" w:hAnsiTheme="majorHAnsi" w:cs="Times New Roman"/>
                <w:b/>
                <w:bCs/>
                <w:lang w:val="en-US"/>
              </w:rPr>
              <w:t>Faliyetin Adı</w:t>
            </w:r>
          </w:p>
        </w:tc>
        <w:tc>
          <w:tcPr>
            <w:tcW w:w="2190" w:type="dxa"/>
            <w:shd w:val="clear" w:color="auto" w:fill="auto"/>
            <w:vAlign w:val="center"/>
          </w:tcPr>
          <w:p w:rsidR="00506B20" w:rsidRPr="00B26894" w:rsidRDefault="00506B20" w:rsidP="00506B20">
            <w:pPr>
              <w:spacing w:after="0" w:line="240" w:lineRule="auto"/>
              <w:jc w:val="center"/>
              <w:rPr>
                <w:rFonts w:asciiTheme="majorHAnsi" w:eastAsia="Times New Roman" w:hAnsiTheme="majorHAnsi" w:cs="Times New Roman"/>
                <w:b/>
                <w:bCs/>
                <w:lang w:val="en-US"/>
              </w:rPr>
            </w:pPr>
            <w:r w:rsidRPr="00B26894">
              <w:rPr>
                <w:rFonts w:asciiTheme="majorHAnsi" w:eastAsia="Times New Roman" w:hAnsiTheme="majorHAnsi" w:cs="Times New Roman"/>
                <w:b/>
                <w:bCs/>
                <w:lang w:val="en-US"/>
              </w:rPr>
              <w:t>Faaliyeti Yapan Birimin Adı</w:t>
            </w:r>
          </w:p>
        </w:tc>
      </w:tr>
      <w:tr w:rsidR="00506B20" w:rsidRPr="00B26894" w:rsidTr="00A110DB">
        <w:trPr>
          <w:trHeight w:val="411"/>
          <w:jc w:val="center"/>
        </w:trPr>
        <w:tc>
          <w:tcPr>
            <w:tcW w:w="1980" w:type="dxa"/>
            <w:shd w:val="clear" w:color="auto" w:fill="auto"/>
          </w:tcPr>
          <w:p w:rsidR="00506B20" w:rsidRPr="00B26894" w:rsidRDefault="00506B20" w:rsidP="00506B20">
            <w:pPr>
              <w:spacing w:after="0" w:line="300" w:lineRule="exact"/>
              <w:jc w:val="both"/>
              <w:rPr>
                <w:rFonts w:asciiTheme="majorHAnsi" w:eastAsia="Times New Roman" w:hAnsiTheme="majorHAnsi" w:cs="Times New Roman"/>
                <w:lang w:eastAsia="zh-CN"/>
              </w:rPr>
            </w:pPr>
            <w:r w:rsidRPr="00B26894">
              <w:rPr>
                <w:rFonts w:asciiTheme="majorHAnsi" w:eastAsia="Times New Roman" w:hAnsiTheme="majorHAnsi" w:cs="Times New Roman"/>
                <w:lang w:eastAsia="zh-CN"/>
              </w:rPr>
              <w:t>8 Nisan 2023</w:t>
            </w:r>
          </w:p>
        </w:tc>
        <w:tc>
          <w:tcPr>
            <w:tcW w:w="1417" w:type="dxa"/>
            <w:shd w:val="clear" w:color="auto" w:fill="auto"/>
          </w:tcPr>
          <w:p w:rsidR="00506B20" w:rsidRPr="00B26894" w:rsidRDefault="00506B20" w:rsidP="00506B20">
            <w:pPr>
              <w:spacing w:after="0" w:line="240" w:lineRule="auto"/>
              <w:rPr>
                <w:rFonts w:asciiTheme="majorHAnsi" w:eastAsia="Times New Roman" w:hAnsiTheme="majorHAnsi" w:cs="Times New Roman"/>
                <w:lang w:val="en-GB" w:eastAsia="ko-KR"/>
              </w:rPr>
            </w:pPr>
            <w:r w:rsidRPr="00B26894">
              <w:rPr>
                <w:rFonts w:asciiTheme="majorHAnsi" w:eastAsia="Times New Roman" w:hAnsiTheme="majorHAnsi" w:cs="Times New Roman"/>
                <w:lang w:val="en-GB" w:eastAsia="ko-KR"/>
              </w:rPr>
              <w:t>Eğitim Programı</w:t>
            </w:r>
          </w:p>
        </w:tc>
        <w:tc>
          <w:tcPr>
            <w:tcW w:w="4189" w:type="dxa"/>
            <w:shd w:val="clear" w:color="auto" w:fill="auto"/>
          </w:tcPr>
          <w:p w:rsidR="00506B20" w:rsidRPr="00B26894" w:rsidRDefault="00506B20" w:rsidP="00506B20">
            <w:pPr>
              <w:spacing w:after="0" w:line="300" w:lineRule="exact"/>
              <w:rPr>
                <w:rFonts w:asciiTheme="majorHAnsi" w:eastAsia="Times New Roman" w:hAnsiTheme="majorHAnsi" w:cs="Times New Roman"/>
                <w:lang w:eastAsia="zh-CN"/>
              </w:rPr>
            </w:pPr>
            <w:r w:rsidRPr="00B26894">
              <w:rPr>
                <w:rFonts w:asciiTheme="majorHAnsi" w:eastAsia="Times New Roman" w:hAnsiTheme="majorHAnsi" w:cs="Times New Roman"/>
                <w:lang w:val="en-GB" w:eastAsia="ko-KR"/>
              </w:rPr>
              <w:t xml:space="preserve">İstanbul Büyükşehir Belediyesi Sosyal Hizmetler Daire Başkanlığı Muhtarlık </w:t>
            </w:r>
            <w:r w:rsidRPr="00B26894">
              <w:rPr>
                <w:rFonts w:asciiTheme="majorHAnsi" w:eastAsia="Times New Roman" w:hAnsiTheme="majorHAnsi" w:cs="Times New Roman"/>
                <w:lang w:val="en-GB" w:eastAsia="ko-KR"/>
              </w:rPr>
              <w:lastRenderedPageBreak/>
              <w:t>İşleri ve Superpool Şirketi ile işbirliği içinde İstanbul Planlama Ajansı’nda park ve bahçelerde çocuklarla kitap okuma etkinlikleri gerçekleştirecek olan gönüllülere eğitim verildi.</w:t>
            </w:r>
          </w:p>
        </w:tc>
        <w:tc>
          <w:tcPr>
            <w:tcW w:w="2190" w:type="dxa"/>
            <w:shd w:val="clear" w:color="auto" w:fill="auto"/>
          </w:tcPr>
          <w:p w:rsidR="00506B20" w:rsidRPr="00B26894" w:rsidRDefault="00506B20" w:rsidP="00506B20">
            <w:pPr>
              <w:spacing w:after="0" w:line="300" w:lineRule="exact"/>
              <w:rPr>
                <w:rFonts w:asciiTheme="majorHAnsi" w:eastAsia="Times New Roman" w:hAnsiTheme="majorHAnsi" w:cs="Times New Roman"/>
                <w:lang w:eastAsia="zh-CN"/>
              </w:rPr>
            </w:pPr>
            <w:r w:rsidRPr="00B26894">
              <w:rPr>
                <w:rFonts w:asciiTheme="majorHAnsi" w:eastAsia="Times New Roman" w:hAnsiTheme="majorHAnsi" w:cs="Times New Roman"/>
                <w:lang w:eastAsia="zh-CN"/>
              </w:rPr>
              <w:lastRenderedPageBreak/>
              <w:t xml:space="preserve">BÜPAM </w:t>
            </w:r>
          </w:p>
        </w:tc>
      </w:tr>
      <w:tr w:rsidR="00506B20" w:rsidRPr="00B26894" w:rsidTr="00A110DB">
        <w:trPr>
          <w:trHeight w:val="986"/>
          <w:jc w:val="center"/>
        </w:trPr>
        <w:tc>
          <w:tcPr>
            <w:tcW w:w="1980" w:type="dxa"/>
            <w:shd w:val="clear" w:color="auto" w:fill="auto"/>
          </w:tcPr>
          <w:p w:rsidR="00506B20" w:rsidRPr="00B26894" w:rsidRDefault="00506B20" w:rsidP="00506B20">
            <w:pPr>
              <w:spacing w:after="0" w:line="300" w:lineRule="exact"/>
              <w:jc w:val="both"/>
              <w:rPr>
                <w:rFonts w:asciiTheme="majorHAnsi" w:eastAsia="Times New Roman" w:hAnsiTheme="majorHAnsi" w:cs="Times New Roman"/>
                <w:lang w:eastAsia="zh-CN"/>
              </w:rPr>
            </w:pPr>
            <w:r w:rsidRPr="00B26894">
              <w:rPr>
                <w:rFonts w:asciiTheme="majorHAnsi" w:eastAsia="Times New Roman" w:hAnsiTheme="majorHAnsi" w:cs="Times New Roman"/>
                <w:lang w:eastAsia="zh-CN"/>
              </w:rPr>
              <w:t>3-13 Mayıs 2023</w:t>
            </w:r>
          </w:p>
        </w:tc>
        <w:tc>
          <w:tcPr>
            <w:tcW w:w="1417" w:type="dxa"/>
            <w:shd w:val="clear" w:color="auto" w:fill="auto"/>
          </w:tcPr>
          <w:p w:rsidR="00506B20" w:rsidRPr="00B26894" w:rsidRDefault="00506B20" w:rsidP="00506B20">
            <w:pPr>
              <w:spacing w:after="0" w:line="240" w:lineRule="auto"/>
              <w:rPr>
                <w:rFonts w:asciiTheme="majorHAnsi" w:eastAsia="Times New Roman" w:hAnsiTheme="majorHAnsi" w:cs="Times New Roman"/>
                <w:lang w:val="en-GB" w:eastAsia="ko-KR"/>
              </w:rPr>
            </w:pPr>
            <w:r w:rsidRPr="00B26894">
              <w:rPr>
                <w:rFonts w:asciiTheme="majorHAnsi" w:eastAsia="Times New Roman" w:hAnsiTheme="majorHAnsi" w:cs="Times New Roman"/>
                <w:lang w:val="en-GB" w:eastAsia="ko-KR"/>
              </w:rPr>
              <w:t>Eğitim Programı</w:t>
            </w:r>
          </w:p>
        </w:tc>
        <w:tc>
          <w:tcPr>
            <w:tcW w:w="4189" w:type="dxa"/>
            <w:shd w:val="clear" w:color="auto" w:fill="auto"/>
          </w:tcPr>
          <w:p w:rsidR="00506B20" w:rsidRPr="00B26894" w:rsidRDefault="00506B20" w:rsidP="00506B20">
            <w:pPr>
              <w:spacing w:after="0" w:line="360" w:lineRule="auto"/>
              <w:contextualSpacing/>
              <w:rPr>
                <w:rFonts w:asciiTheme="majorHAnsi" w:eastAsia="Times New Roman" w:hAnsiTheme="majorHAnsi" w:cs="Times New Roman"/>
                <w:lang w:eastAsia="zh-CN"/>
              </w:rPr>
            </w:pPr>
            <w:r w:rsidRPr="00B26894">
              <w:rPr>
                <w:rFonts w:asciiTheme="majorHAnsi" w:eastAsia="Times New Roman" w:hAnsiTheme="majorHAnsi" w:cs="Times New Roman"/>
                <w:lang w:eastAsia="zh-CN"/>
              </w:rPr>
              <w:t xml:space="preserve">İzmir Büyükşehir Belediyesi Ev Ziyareti Temelli Aile Danışmanlığı Programı Uygulamacı Eğitimi verildi. </w:t>
            </w:r>
          </w:p>
        </w:tc>
        <w:tc>
          <w:tcPr>
            <w:tcW w:w="2190" w:type="dxa"/>
            <w:shd w:val="clear" w:color="auto" w:fill="auto"/>
          </w:tcPr>
          <w:p w:rsidR="00506B20" w:rsidRPr="00B26894" w:rsidRDefault="00506B20" w:rsidP="00506B20">
            <w:pPr>
              <w:spacing w:after="0" w:line="300" w:lineRule="exact"/>
              <w:rPr>
                <w:rFonts w:asciiTheme="majorHAnsi" w:eastAsia="Times New Roman" w:hAnsiTheme="majorHAnsi" w:cs="Times New Roman"/>
                <w:lang w:eastAsia="zh-CN"/>
              </w:rPr>
            </w:pPr>
            <w:r w:rsidRPr="00B26894">
              <w:rPr>
                <w:rFonts w:asciiTheme="majorHAnsi" w:eastAsia="Times New Roman" w:hAnsiTheme="majorHAnsi" w:cs="Times New Roman"/>
                <w:lang w:eastAsia="zh-CN"/>
              </w:rPr>
              <w:t xml:space="preserve">BÜPAM </w:t>
            </w:r>
          </w:p>
        </w:tc>
      </w:tr>
    </w:tbl>
    <w:p w:rsidR="005301FE" w:rsidRDefault="005301FE" w:rsidP="0061139A">
      <w:pPr>
        <w:rPr>
          <w:rFonts w:ascii="Trebuchet MS" w:hAnsi="Trebuchet MS"/>
          <w:sz w:val="20"/>
          <w:szCs w:val="20"/>
        </w:rPr>
      </w:pPr>
    </w:p>
    <w:p w:rsidR="00CB702E" w:rsidRDefault="005301FE" w:rsidP="00CB702E">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CB702E">
        <w:rPr>
          <w:rFonts w:ascii="Cambria" w:eastAsia="Calibri" w:hAnsi="Cambria" w:cs="Times New Roman"/>
          <w:b/>
          <w:color w:val="365F91" w:themeColor="accent1" w:themeShade="BF"/>
          <w:sz w:val="28"/>
          <w:szCs w:val="28"/>
          <w:lang w:eastAsia="tr-TR"/>
        </w:rPr>
        <w:t>-</w:t>
      </w:r>
      <w:r w:rsidR="00CB702E" w:rsidRPr="00CB702E">
        <w:rPr>
          <w:rFonts w:ascii="Cambria" w:eastAsia="Calibri" w:hAnsi="Cambria" w:cs="Times New Roman"/>
          <w:b/>
          <w:color w:val="365F91" w:themeColor="accent1" w:themeShade="BF"/>
          <w:sz w:val="28"/>
          <w:szCs w:val="28"/>
          <w:lang w:eastAsia="tr-TR"/>
        </w:rPr>
        <w:t xml:space="preserve">MERKEZ PERSONELİNİN MERKEZ AMAÇLARI ÇERÇEVESİNDE KATILMIŞ OLDUĞU TOPLANTILAR </w:t>
      </w:r>
    </w:p>
    <w:p w:rsidR="00CB702E" w:rsidRPr="00CB702E" w:rsidRDefault="00CB702E" w:rsidP="00CB702E">
      <w:pPr>
        <w:spacing w:after="0" w:line="300" w:lineRule="exact"/>
        <w:rPr>
          <w:rFonts w:ascii="Cambria" w:eastAsia="Calibri" w:hAnsi="Cambria" w:cs="Times New Roman"/>
          <w:b/>
          <w:color w:val="365F91" w:themeColor="accent1" w:themeShade="BF"/>
          <w:sz w:val="28"/>
          <w:szCs w:val="28"/>
          <w:lang w:eastAsia="tr-TR"/>
        </w:rPr>
      </w:pPr>
    </w:p>
    <w:tbl>
      <w:tblPr>
        <w:tblW w:w="97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1418"/>
        <w:gridCol w:w="4472"/>
        <w:gridCol w:w="2212"/>
      </w:tblGrid>
      <w:tr w:rsidR="005301FE" w:rsidRPr="00B26894" w:rsidTr="005301FE">
        <w:trPr>
          <w:trHeight w:val="614"/>
          <w:jc w:val="center"/>
        </w:trPr>
        <w:tc>
          <w:tcPr>
            <w:tcW w:w="1696" w:type="dxa"/>
            <w:shd w:val="clear" w:color="auto" w:fill="auto"/>
            <w:vAlign w:val="center"/>
          </w:tcPr>
          <w:p w:rsidR="005301FE" w:rsidRPr="00B26894" w:rsidRDefault="005301FE" w:rsidP="005301FE">
            <w:pPr>
              <w:spacing w:after="0" w:line="240" w:lineRule="auto"/>
              <w:jc w:val="center"/>
              <w:rPr>
                <w:rFonts w:asciiTheme="majorHAnsi" w:eastAsia="Times New Roman" w:hAnsiTheme="majorHAnsi" w:cs="Times New Roman"/>
                <w:b/>
                <w:bCs/>
                <w:lang w:val="en-US"/>
              </w:rPr>
            </w:pPr>
            <w:r w:rsidRPr="00B26894">
              <w:rPr>
                <w:rFonts w:asciiTheme="majorHAnsi" w:eastAsia="Times New Roman" w:hAnsiTheme="majorHAnsi" w:cs="Times New Roman"/>
                <w:b/>
                <w:bCs/>
                <w:lang w:val="en-US"/>
              </w:rPr>
              <w:t>Faaliyetin Tarihi (leri)</w:t>
            </w:r>
          </w:p>
        </w:tc>
        <w:tc>
          <w:tcPr>
            <w:tcW w:w="1418" w:type="dxa"/>
            <w:shd w:val="clear" w:color="auto" w:fill="auto"/>
            <w:vAlign w:val="center"/>
          </w:tcPr>
          <w:p w:rsidR="005301FE" w:rsidRPr="00B26894" w:rsidRDefault="005301FE" w:rsidP="005301FE">
            <w:pPr>
              <w:spacing w:after="0" w:line="240" w:lineRule="auto"/>
              <w:jc w:val="center"/>
              <w:rPr>
                <w:rFonts w:asciiTheme="majorHAnsi" w:eastAsia="Times New Roman" w:hAnsiTheme="majorHAnsi" w:cs="Times New Roman"/>
                <w:b/>
                <w:bCs/>
                <w:lang w:val="en-US"/>
              </w:rPr>
            </w:pPr>
            <w:r w:rsidRPr="00B26894">
              <w:rPr>
                <w:rFonts w:asciiTheme="majorHAnsi" w:eastAsia="Times New Roman" w:hAnsiTheme="majorHAnsi" w:cs="Times New Roman"/>
                <w:b/>
                <w:bCs/>
                <w:lang w:val="en-US"/>
              </w:rPr>
              <w:t>Faaliyetin Türü</w:t>
            </w:r>
          </w:p>
        </w:tc>
        <w:tc>
          <w:tcPr>
            <w:tcW w:w="4472" w:type="dxa"/>
            <w:shd w:val="clear" w:color="auto" w:fill="auto"/>
            <w:vAlign w:val="center"/>
          </w:tcPr>
          <w:p w:rsidR="005301FE" w:rsidRPr="00B26894" w:rsidRDefault="005301FE" w:rsidP="005301FE">
            <w:pPr>
              <w:spacing w:after="0" w:line="240" w:lineRule="auto"/>
              <w:jc w:val="center"/>
              <w:rPr>
                <w:rFonts w:asciiTheme="majorHAnsi" w:eastAsia="Times New Roman" w:hAnsiTheme="majorHAnsi" w:cs="Times New Roman"/>
                <w:b/>
                <w:bCs/>
                <w:lang w:val="en-US"/>
              </w:rPr>
            </w:pPr>
            <w:r w:rsidRPr="00B26894">
              <w:rPr>
                <w:rFonts w:asciiTheme="majorHAnsi" w:eastAsia="Times New Roman" w:hAnsiTheme="majorHAnsi" w:cs="Times New Roman"/>
                <w:b/>
                <w:bCs/>
                <w:lang w:val="en-US"/>
              </w:rPr>
              <w:t>Faliyetin Adı</w:t>
            </w:r>
          </w:p>
        </w:tc>
        <w:tc>
          <w:tcPr>
            <w:tcW w:w="2212" w:type="dxa"/>
            <w:shd w:val="clear" w:color="auto" w:fill="auto"/>
            <w:vAlign w:val="center"/>
          </w:tcPr>
          <w:p w:rsidR="005301FE" w:rsidRPr="00B26894" w:rsidRDefault="005301FE" w:rsidP="005301FE">
            <w:pPr>
              <w:spacing w:after="0" w:line="240" w:lineRule="auto"/>
              <w:jc w:val="center"/>
              <w:rPr>
                <w:rFonts w:asciiTheme="majorHAnsi" w:eastAsia="Times New Roman" w:hAnsiTheme="majorHAnsi" w:cs="Times New Roman"/>
                <w:b/>
                <w:bCs/>
                <w:lang w:val="en-US"/>
              </w:rPr>
            </w:pPr>
            <w:r w:rsidRPr="00B26894">
              <w:rPr>
                <w:rFonts w:asciiTheme="majorHAnsi" w:eastAsia="Times New Roman" w:hAnsiTheme="majorHAnsi" w:cs="Times New Roman"/>
                <w:b/>
                <w:bCs/>
                <w:lang w:val="en-US"/>
              </w:rPr>
              <w:t>Faaliyeti Yapan Birimin Adı</w:t>
            </w:r>
          </w:p>
        </w:tc>
      </w:tr>
      <w:tr w:rsidR="005301FE" w:rsidRPr="00B26894" w:rsidTr="005301FE">
        <w:trPr>
          <w:trHeight w:val="1284"/>
          <w:jc w:val="center"/>
        </w:trPr>
        <w:tc>
          <w:tcPr>
            <w:tcW w:w="1696" w:type="dxa"/>
            <w:shd w:val="clear" w:color="auto" w:fill="auto"/>
          </w:tcPr>
          <w:p w:rsidR="005301FE" w:rsidRPr="00B26894" w:rsidRDefault="005301FE" w:rsidP="00A110DB">
            <w:pPr>
              <w:spacing w:after="0" w:line="300" w:lineRule="exact"/>
              <w:jc w:val="both"/>
              <w:rPr>
                <w:rFonts w:asciiTheme="majorHAnsi" w:eastAsia="Times New Roman" w:hAnsiTheme="majorHAnsi" w:cs="Times New Roman"/>
                <w:lang w:eastAsia="zh-CN"/>
              </w:rPr>
            </w:pPr>
            <w:r w:rsidRPr="00B26894">
              <w:rPr>
                <w:rFonts w:asciiTheme="majorHAnsi" w:eastAsia="Times New Roman" w:hAnsiTheme="majorHAnsi" w:cs="Times New Roman"/>
                <w:lang w:val="en-GB" w:eastAsia="ko-KR"/>
              </w:rPr>
              <w:t>15-19 Temmuz 2023</w:t>
            </w:r>
          </w:p>
        </w:tc>
        <w:tc>
          <w:tcPr>
            <w:tcW w:w="1418" w:type="dxa"/>
            <w:shd w:val="clear" w:color="auto" w:fill="auto"/>
          </w:tcPr>
          <w:p w:rsidR="005301FE" w:rsidRPr="00B26894" w:rsidRDefault="005301FE" w:rsidP="005301FE">
            <w:pPr>
              <w:spacing w:after="0" w:line="240" w:lineRule="auto"/>
              <w:rPr>
                <w:rFonts w:asciiTheme="majorHAnsi" w:eastAsia="Times New Roman" w:hAnsiTheme="majorHAnsi" w:cs="Times New Roman"/>
                <w:lang w:val="en-GB" w:eastAsia="ko-KR"/>
              </w:rPr>
            </w:pPr>
            <w:r w:rsidRPr="00B26894">
              <w:rPr>
                <w:rFonts w:asciiTheme="majorHAnsi" w:eastAsia="Times New Roman" w:hAnsiTheme="majorHAnsi" w:cs="Times New Roman"/>
                <w:lang w:val="en-GB" w:eastAsia="ko-KR"/>
              </w:rPr>
              <w:t>Kongre</w:t>
            </w:r>
          </w:p>
        </w:tc>
        <w:tc>
          <w:tcPr>
            <w:tcW w:w="4472" w:type="dxa"/>
            <w:shd w:val="clear" w:color="auto" w:fill="auto"/>
          </w:tcPr>
          <w:p w:rsidR="005301FE" w:rsidRPr="00B26894" w:rsidRDefault="005301FE" w:rsidP="005301FE">
            <w:pPr>
              <w:spacing w:after="0" w:line="360" w:lineRule="auto"/>
              <w:contextualSpacing/>
              <w:rPr>
                <w:rFonts w:asciiTheme="majorHAnsi" w:eastAsia="Times New Roman" w:hAnsiTheme="majorHAnsi" w:cs="Times New Roman"/>
                <w:lang w:eastAsia="zh-CN"/>
              </w:rPr>
            </w:pPr>
            <w:r w:rsidRPr="00B26894">
              <w:rPr>
                <w:rFonts w:asciiTheme="majorHAnsi" w:eastAsia="Times New Roman" w:hAnsiTheme="majorHAnsi" w:cs="Times New Roman"/>
                <w:lang w:val="en-GB" w:eastAsia="ko-KR"/>
              </w:rPr>
              <w:t>Dr. Öğr. Üyesi Nihal Yeniad, İrlanda Dublin’de düzenlenen Bebek Ruh Sağlığı Kongresi’nde araştırma bulgularını sundu.</w:t>
            </w:r>
          </w:p>
        </w:tc>
        <w:tc>
          <w:tcPr>
            <w:tcW w:w="2212" w:type="dxa"/>
            <w:shd w:val="clear" w:color="auto" w:fill="auto"/>
          </w:tcPr>
          <w:p w:rsidR="005301FE" w:rsidRPr="00B26894" w:rsidRDefault="005301FE" w:rsidP="005301FE">
            <w:pPr>
              <w:spacing w:after="0" w:line="300" w:lineRule="exact"/>
              <w:rPr>
                <w:rFonts w:asciiTheme="majorHAnsi" w:eastAsia="Times New Roman" w:hAnsiTheme="majorHAnsi" w:cs="Times New Roman"/>
                <w:lang w:eastAsia="zh-CN"/>
              </w:rPr>
            </w:pPr>
            <w:r w:rsidRPr="00B26894">
              <w:rPr>
                <w:rFonts w:asciiTheme="majorHAnsi" w:eastAsia="Times New Roman" w:hAnsiTheme="majorHAnsi" w:cs="Times New Roman"/>
                <w:lang w:val="en-GB" w:eastAsia="ko-KR"/>
              </w:rPr>
              <w:t>İrlanda Dublin Bebek Ruh Sağlığı Kongresi’</w:t>
            </w:r>
          </w:p>
        </w:tc>
      </w:tr>
      <w:tr w:rsidR="005301FE" w:rsidRPr="00B26894" w:rsidTr="005301FE">
        <w:trPr>
          <w:trHeight w:val="986"/>
          <w:jc w:val="center"/>
        </w:trPr>
        <w:tc>
          <w:tcPr>
            <w:tcW w:w="1696" w:type="dxa"/>
            <w:shd w:val="clear" w:color="auto" w:fill="auto"/>
          </w:tcPr>
          <w:p w:rsidR="005301FE" w:rsidRPr="00B26894" w:rsidRDefault="005301FE" w:rsidP="00A110DB">
            <w:pPr>
              <w:spacing w:after="0" w:line="300" w:lineRule="exact"/>
              <w:rPr>
                <w:rFonts w:asciiTheme="majorHAnsi" w:eastAsia="Times New Roman" w:hAnsiTheme="majorHAnsi" w:cs="Times New Roman"/>
                <w:lang w:eastAsia="zh-CN"/>
              </w:rPr>
            </w:pPr>
            <w:r w:rsidRPr="00B26894">
              <w:rPr>
                <w:rFonts w:asciiTheme="majorHAnsi" w:eastAsia="Times New Roman" w:hAnsiTheme="majorHAnsi" w:cs="Times New Roman"/>
                <w:lang w:val="en-GB" w:eastAsia="ko-KR"/>
              </w:rPr>
              <w:t>3-7 Ekim 2023</w:t>
            </w:r>
          </w:p>
        </w:tc>
        <w:tc>
          <w:tcPr>
            <w:tcW w:w="1418" w:type="dxa"/>
            <w:shd w:val="clear" w:color="auto" w:fill="auto"/>
          </w:tcPr>
          <w:p w:rsidR="005301FE" w:rsidRPr="00B26894" w:rsidRDefault="005301FE" w:rsidP="005301FE">
            <w:pPr>
              <w:spacing w:after="0" w:line="240" w:lineRule="auto"/>
              <w:rPr>
                <w:rFonts w:asciiTheme="majorHAnsi" w:eastAsia="Times New Roman" w:hAnsiTheme="majorHAnsi" w:cs="Times New Roman"/>
                <w:lang w:val="en-GB" w:eastAsia="ko-KR"/>
              </w:rPr>
            </w:pPr>
            <w:r w:rsidRPr="00B26894">
              <w:rPr>
                <w:rFonts w:asciiTheme="majorHAnsi" w:eastAsia="Times New Roman" w:hAnsiTheme="majorHAnsi" w:cs="Times New Roman"/>
                <w:lang w:val="en-GB" w:eastAsia="ko-KR"/>
              </w:rPr>
              <w:t>Kongre</w:t>
            </w:r>
          </w:p>
        </w:tc>
        <w:tc>
          <w:tcPr>
            <w:tcW w:w="4472" w:type="dxa"/>
            <w:shd w:val="clear" w:color="auto" w:fill="auto"/>
          </w:tcPr>
          <w:p w:rsidR="005301FE" w:rsidRPr="00B26894" w:rsidRDefault="005301FE" w:rsidP="005301FE">
            <w:pPr>
              <w:spacing w:after="0" w:line="360" w:lineRule="auto"/>
              <w:contextualSpacing/>
              <w:rPr>
                <w:rFonts w:asciiTheme="majorHAnsi" w:eastAsia="Times New Roman" w:hAnsiTheme="majorHAnsi" w:cs="Times New Roman"/>
                <w:lang w:eastAsia="zh-CN"/>
              </w:rPr>
            </w:pPr>
            <w:r w:rsidRPr="00B26894">
              <w:rPr>
                <w:rFonts w:asciiTheme="majorHAnsi" w:eastAsia="Times New Roman" w:hAnsiTheme="majorHAnsi" w:cs="Times New Roman"/>
                <w:lang w:eastAsia="zh-CN"/>
              </w:rPr>
              <w:t>Prof. Dr. Feyza Çorapçı İzmir’de düzenlenen IV. Uluslararası Çocuk Koruma Kongresi’nde araştırma bulgularını sundu.</w:t>
            </w:r>
          </w:p>
        </w:tc>
        <w:tc>
          <w:tcPr>
            <w:tcW w:w="2212" w:type="dxa"/>
            <w:shd w:val="clear" w:color="auto" w:fill="auto"/>
          </w:tcPr>
          <w:p w:rsidR="005301FE" w:rsidRPr="00B26894" w:rsidRDefault="005301FE" w:rsidP="005301FE">
            <w:pPr>
              <w:spacing w:after="0" w:line="300" w:lineRule="exact"/>
              <w:rPr>
                <w:rFonts w:asciiTheme="majorHAnsi" w:eastAsia="Times New Roman" w:hAnsiTheme="majorHAnsi" w:cs="Times New Roman"/>
                <w:lang w:eastAsia="zh-CN"/>
              </w:rPr>
            </w:pPr>
            <w:r w:rsidRPr="00B26894">
              <w:rPr>
                <w:rFonts w:asciiTheme="majorHAnsi" w:eastAsia="Times New Roman" w:hAnsiTheme="majorHAnsi" w:cs="Times New Roman"/>
                <w:lang w:eastAsia="zh-CN"/>
              </w:rPr>
              <w:t>İzmir IV. Uluslararası Çocuk Koruma Kongresi</w:t>
            </w:r>
          </w:p>
        </w:tc>
      </w:tr>
    </w:tbl>
    <w:p w:rsidR="005301FE" w:rsidRDefault="005301FE" w:rsidP="001409EE">
      <w:pPr>
        <w:tabs>
          <w:tab w:val="left" w:pos="2835"/>
        </w:tabs>
        <w:autoSpaceDE w:val="0"/>
        <w:autoSpaceDN w:val="0"/>
        <w:adjustRightInd w:val="0"/>
        <w:spacing w:after="0" w:line="300" w:lineRule="exact"/>
        <w:rPr>
          <w:rFonts w:asciiTheme="majorHAnsi" w:eastAsia="Calibri" w:hAnsiTheme="majorHAnsi" w:cs="InterstateLight"/>
          <w:color w:val="000000"/>
          <w:lang w:val="de-DE" w:eastAsia="zh-CN"/>
        </w:rPr>
      </w:pPr>
    </w:p>
    <w:p w:rsidR="005301FE" w:rsidRDefault="005301FE" w:rsidP="001409EE">
      <w:pPr>
        <w:tabs>
          <w:tab w:val="left" w:pos="2835"/>
        </w:tabs>
        <w:autoSpaceDE w:val="0"/>
        <w:autoSpaceDN w:val="0"/>
        <w:adjustRightInd w:val="0"/>
        <w:spacing w:after="0" w:line="300" w:lineRule="exact"/>
        <w:rPr>
          <w:rFonts w:asciiTheme="majorHAnsi" w:eastAsia="Calibri" w:hAnsiTheme="majorHAnsi" w:cs="InterstateLight"/>
          <w:color w:val="000000"/>
          <w:lang w:val="de-DE" w:eastAsia="zh-CN"/>
        </w:rPr>
      </w:pPr>
    </w:p>
    <w:p w:rsidR="005301FE" w:rsidRPr="00A110DB" w:rsidRDefault="005301FE" w:rsidP="00A110DB">
      <w:pPr>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w:t>
      </w:r>
      <w:r w:rsidRPr="0072388A">
        <w:rPr>
          <w:rFonts w:ascii="Cambria" w:eastAsia="Calibri" w:hAnsi="Cambria" w:cs="Times New Roman"/>
          <w:b/>
          <w:color w:val="365F91" w:themeColor="accent1" w:themeShade="BF"/>
          <w:sz w:val="28"/>
          <w:szCs w:val="28"/>
          <w:lang w:eastAsia="tr-TR"/>
        </w:rPr>
        <w:t>-</w:t>
      </w:r>
      <w:r w:rsidRPr="00E7790E">
        <w:rPr>
          <w:sz w:val="24"/>
          <w:szCs w:val="24"/>
        </w:rPr>
        <w:t xml:space="preserve"> </w:t>
      </w:r>
      <w:r w:rsidRPr="00E7790E">
        <w:rPr>
          <w:rFonts w:ascii="Cambria" w:eastAsia="Calibri" w:hAnsi="Cambria" w:cs="Times New Roman"/>
          <w:b/>
          <w:color w:val="365F91" w:themeColor="accent1" w:themeShade="BF"/>
          <w:sz w:val="28"/>
          <w:szCs w:val="28"/>
          <w:lang w:eastAsia="tr-TR"/>
        </w:rPr>
        <w:t>MERKEZ ÜYELERİNCE MERKEZ FAALİYET ALANINDA YAYIMLANAN BİLİMSEL YAYINLAR</w:t>
      </w:r>
    </w:p>
    <w:p w:rsidR="00A110DB" w:rsidRPr="00B26894" w:rsidRDefault="00A110DB" w:rsidP="00A110DB">
      <w:pPr>
        <w:autoSpaceDE w:val="0"/>
        <w:autoSpaceDN w:val="0"/>
        <w:adjustRightInd w:val="0"/>
        <w:spacing w:after="100" w:afterAutospacing="1" w:line="240" w:lineRule="auto"/>
        <w:ind w:left="720" w:hanging="720"/>
        <w:jc w:val="both"/>
        <w:rPr>
          <w:rFonts w:asciiTheme="majorHAnsi" w:eastAsia="Calibri" w:hAnsiTheme="majorHAnsi" w:cs="Times New Roman"/>
          <w:b/>
          <w:noProof/>
          <w:color w:val="365F91" w:themeColor="accent1" w:themeShade="BF"/>
          <w:lang w:val="en-GB"/>
        </w:rPr>
      </w:pPr>
      <w:r w:rsidRPr="00B26894">
        <w:rPr>
          <w:rFonts w:asciiTheme="majorHAnsi" w:eastAsia="Calibri" w:hAnsiTheme="majorHAnsi" w:cs="Times New Roman"/>
          <w:b/>
          <w:noProof/>
          <w:color w:val="365F91" w:themeColor="accent1" w:themeShade="BF"/>
          <w:lang w:val="en-GB"/>
        </w:rPr>
        <w:t>Kitap Bölümü:</w:t>
      </w:r>
    </w:p>
    <w:p w:rsidR="00A110DB" w:rsidRPr="00B26894" w:rsidRDefault="00A110DB" w:rsidP="00A110DB">
      <w:pPr>
        <w:autoSpaceDE w:val="0"/>
        <w:autoSpaceDN w:val="0"/>
        <w:adjustRightInd w:val="0"/>
        <w:spacing w:after="0" w:line="240" w:lineRule="auto"/>
        <w:jc w:val="both"/>
        <w:rPr>
          <w:rFonts w:asciiTheme="majorHAnsi" w:eastAsia="Calibri" w:hAnsiTheme="majorHAnsi" w:cs="Times New Roman"/>
          <w:bCs/>
          <w:noProof/>
          <w:lang w:val="en-GB"/>
        </w:rPr>
      </w:pPr>
      <w:r w:rsidRPr="00B26894">
        <w:rPr>
          <w:rFonts w:asciiTheme="majorHAnsi" w:eastAsia="Calibri" w:hAnsiTheme="majorHAnsi" w:cs="Times New Roman"/>
          <w:bCs/>
          <w:noProof/>
          <w:lang w:val="en-GB"/>
        </w:rPr>
        <w:t xml:space="preserve">Çorapçı, F., Börkan, B., Buğan-Kısır, B. et al. Preliminary Findings of a Home Visiting Program on Stimulating Parenting and Child Vocabulary in a Sample of Economically-Disadvantaged Families. Child Youth Care Forum (2023). https://doi.org/10.1007/s10566-023-09772-7    </w:t>
      </w:r>
    </w:p>
    <w:p w:rsidR="00A110DB" w:rsidRPr="00B26894" w:rsidRDefault="00A110DB" w:rsidP="00A110DB">
      <w:pPr>
        <w:autoSpaceDE w:val="0"/>
        <w:autoSpaceDN w:val="0"/>
        <w:adjustRightInd w:val="0"/>
        <w:spacing w:after="0" w:line="240" w:lineRule="auto"/>
        <w:jc w:val="both"/>
        <w:rPr>
          <w:rFonts w:asciiTheme="majorHAnsi" w:eastAsia="Calibri" w:hAnsiTheme="majorHAnsi" w:cs="Times New Roman"/>
          <w:bCs/>
          <w:noProof/>
          <w:lang w:val="en-GB"/>
        </w:rPr>
      </w:pPr>
      <w:r w:rsidRPr="00B26894">
        <w:rPr>
          <w:rFonts w:asciiTheme="majorHAnsi" w:eastAsia="Calibri" w:hAnsiTheme="majorHAnsi" w:cs="Times New Roman"/>
          <w:bCs/>
          <w:noProof/>
          <w:lang w:val="en-GB"/>
        </w:rPr>
        <w:t xml:space="preserve">                              </w:t>
      </w:r>
    </w:p>
    <w:p w:rsidR="00A110DB" w:rsidRPr="00B26894" w:rsidRDefault="00A110DB" w:rsidP="00A110DB">
      <w:pPr>
        <w:autoSpaceDE w:val="0"/>
        <w:autoSpaceDN w:val="0"/>
        <w:adjustRightInd w:val="0"/>
        <w:spacing w:after="0" w:line="240" w:lineRule="auto"/>
        <w:jc w:val="both"/>
        <w:rPr>
          <w:rFonts w:asciiTheme="majorHAnsi" w:eastAsia="Calibri" w:hAnsiTheme="majorHAnsi" w:cs="Times New Roman"/>
          <w:noProof/>
          <w:shd w:val="clear" w:color="auto" w:fill="FFFFFF"/>
          <w:lang w:val="en-GB"/>
        </w:rPr>
      </w:pPr>
      <w:r w:rsidRPr="00B26894">
        <w:rPr>
          <w:rFonts w:asciiTheme="majorHAnsi" w:eastAsia="Calibri" w:hAnsiTheme="majorHAnsi" w:cs="Times New Roman"/>
          <w:bCs/>
          <w:noProof/>
          <w:lang w:val="en-GB"/>
        </w:rPr>
        <w:t xml:space="preserve">Corapci, F., Yeniad, N., Sart Z. H., ve Müderrisoğlu, S. (2023). Erken Çocuklukta Ev Ziyareti Temelli Aile Rehberliği Programı. Corapci, F. ve Doğan, A. (Ed.) “Çocuk ve Ergenler için Önleyici Müdahale Programları” içinde. Istanbul: Nobel Akademik Yayıncılık.                                                     </w:t>
      </w:r>
    </w:p>
    <w:p w:rsidR="00A110DB" w:rsidRPr="00B26894" w:rsidRDefault="00A110DB" w:rsidP="00A110DB">
      <w:pPr>
        <w:autoSpaceDE w:val="0"/>
        <w:autoSpaceDN w:val="0"/>
        <w:adjustRightInd w:val="0"/>
        <w:spacing w:after="0" w:line="240" w:lineRule="auto"/>
        <w:ind w:left="720" w:hanging="720"/>
        <w:jc w:val="both"/>
        <w:rPr>
          <w:rFonts w:asciiTheme="majorHAnsi" w:eastAsia="Calibri" w:hAnsiTheme="majorHAnsi" w:cs="Times New Roman"/>
          <w:noProof/>
          <w:color w:val="365F91" w:themeColor="accent1" w:themeShade="BF"/>
          <w:shd w:val="clear" w:color="auto" w:fill="FFFFFF"/>
          <w:lang w:val="en-GB"/>
        </w:rPr>
      </w:pPr>
    </w:p>
    <w:p w:rsidR="00A110DB" w:rsidRPr="00B26894" w:rsidRDefault="00A110DB" w:rsidP="00A110DB">
      <w:pPr>
        <w:spacing w:after="120" w:line="360" w:lineRule="auto"/>
        <w:ind w:left="720" w:hanging="720"/>
        <w:jc w:val="both"/>
        <w:rPr>
          <w:rFonts w:asciiTheme="majorHAnsi" w:eastAsia="Times New Roman" w:hAnsiTheme="majorHAnsi" w:cs="Times New Roman"/>
          <w:noProof/>
          <w:color w:val="365F91" w:themeColor="accent1" w:themeShade="BF"/>
          <w:lang w:val="en-GB" w:eastAsia="zh-CN"/>
        </w:rPr>
      </w:pPr>
      <w:r w:rsidRPr="00B26894">
        <w:rPr>
          <w:rFonts w:asciiTheme="majorHAnsi" w:eastAsia="Times New Roman" w:hAnsiTheme="majorHAnsi" w:cs="Times New Roman"/>
          <w:b/>
          <w:bCs/>
          <w:noProof/>
          <w:color w:val="365F91" w:themeColor="accent1" w:themeShade="BF"/>
          <w:lang w:val="en-GB" w:eastAsia="zh-CN"/>
        </w:rPr>
        <w:t>Makale</w:t>
      </w:r>
      <w:r w:rsidRPr="00B26894">
        <w:rPr>
          <w:rFonts w:asciiTheme="majorHAnsi" w:eastAsia="Times New Roman" w:hAnsiTheme="majorHAnsi" w:cs="Times New Roman"/>
          <w:noProof/>
          <w:color w:val="365F91" w:themeColor="accent1" w:themeShade="BF"/>
          <w:lang w:val="en-GB" w:eastAsia="zh-CN"/>
        </w:rPr>
        <w:t>:</w:t>
      </w:r>
    </w:p>
    <w:p w:rsidR="005301FE" w:rsidRDefault="00A110DB" w:rsidP="00A110DB">
      <w:pPr>
        <w:spacing w:after="0" w:line="240" w:lineRule="auto"/>
        <w:jc w:val="both"/>
        <w:rPr>
          <w:rFonts w:asciiTheme="majorHAnsi" w:eastAsia="Times New Roman" w:hAnsiTheme="majorHAnsi" w:cs="Times New Roman"/>
          <w:noProof/>
          <w:lang w:val="en-GB" w:eastAsia="zh-CN"/>
        </w:rPr>
      </w:pPr>
      <w:r w:rsidRPr="00B26894">
        <w:rPr>
          <w:rFonts w:asciiTheme="majorHAnsi" w:eastAsia="Times New Roman" w:hAnsiTheme="majorHAnsi" w:cs="Times New Roman"/>
          <w:noProof/>
          <w:lang w:val="en-GB" w:eastAsia="zh-CN"/>
        </w:rPr>
        <w:t xml:space="preserve"> Corapci, F. (2023) Hayata İyi Bir Başlangıç İçin Erken Çocukluğu Desteklemek. Üsküdar İlçe Milli Eğitim Dergisi.</w:t>
      </w:r>
    </w:p>
    <w:p w:rsidR="00B26894" w:rsidRDefault="00B26894" w:rsidP="00A110DB">
      <w:pPr>
        <w:spacing w:after="0" w:line="240" w:lineRule="auto"/>
        <w:jc w:val="both"/>
        <w:rPr>
          <w:rFonts w:asciiTheme="majorHAnsi" w:eastAsia="Times New Roman" w:hAnsiTheme="majorHAnsi" w:cs="Times New Roman"/>
          <w:noProof/>
          <w:lang w:val="en-GB" w:eastAsia="zh-CN"/>
        </w:rPr>
      </w:pPr>
    </w:p>
    <w:p w:rsidR="00B26894" w:rsidRDefault="00B26894" w:rsidP="00A110DB">
      <w:pPr>
        <w:spacing w:after="0" w:line="240" w:lineRule="auto"/>
        <w:jc w:val="both"/>
        <w:rPr>
          <w:rFonts w:asciiTheme="majorHAnsi" w:eastAsia="Times New Roman" w:hAnsiTheme="majorHAnsi" w:cs="Times New Roman"/>
          <w:noProof/>
          <w:lang w:val="en-GB" w:eastAsia="zh-CN"/>
        </w:rPr>
      </w:pPr>
    </w:p>
    <w:p w:rsidR="00B26894" w:rsidRDefault="00B26894" w:rsidP="00A110DB">
      <w:pPr>
        <w:spacing w:after="0" w:line="240" w:lineRule="auto"/>
        <w:jc w:val="both"/>
        <w:rPr>
          <w:rFonts w:asciiTheme="majorHAnsi" w:eastAsia="Times New Roman" w:hAnsiTheme="majorHAnsi" w:cs="Times New Roman"/>
          <w:noProof/>
          <w:lang w:val="en-GB" w:eastAsia="zh-CN"/>
        </w:rPr>
      </w:pPr>
    </w:p>
    <w:p w:rsidR="00B26894" w:rsidRDefault="00B26894" w:rsidP="00A110DB">
      <w:pPr>
        <w:spacing w:after="0" w:line="240" w:lineRule="auto"/>
        <w:jc w:val="both"/>
        <w:rPr>
          <w:rFonts w:asciiTheme="majorHAnsi" w:eastAsia="Times New Roman" w:hAnsiTheme="majorHAnsi" w:cs="Times New Roman"/>
          <w:noProof/>
          <w:lang w:val="en-GB" w:eastAsia="zh-CN"/>
        </w:rPr>
      </w:pPr>
    </w:p>
    <w:p w:rsidR="00B26894" w:rsidRPr="00B26894" w:rsidRDefault="00B26894" w:rsidP="00A110DB">
      <w:pPr>
        <w:spacing w:after="0" w:line="240" w:lineRule="auto"/>
        <w:jc w:val="both"/>
        <w:rPr>
          <w:rFonts w:asciiTheme="majorHAnsi" w:eastAsia="Times New Roman" w:hAnsiTheme="majorHAnsi" w:cs="Times New Roman"/>
          <w:noProof/>
          <w:lang w:val="en-GB" w:eastAsia="zh-CN"/>
        </w:rPr>
      </w:pPr>
    </w:p>
    <w:p w:rsidR="00A16C63" w:rsidRPr="004E22D3" w:rsidRDefault="005301FE" w:rsidP="00D64406">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VIII</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A16C63" w:rsidRPr="00B26894" w:rsidRDefault="00A16C63" w:rsidP="00D64406">
      <w:pPr>
        <w:tabs>
          <w:tab w:val="left" w:pos="2835"/>
        </w:tabs>
        <w:autoSpaceDE w:val="0"/>
        <w:autoSpaceDN w:val="0"/>
        <w:adjustRightInd w:val="0"/>
        <w:spacing w:after="0" w:line="300" w:lineRule="exact"/>
        <w:rPr>
          <w:rFonts w:asciiTheme="majorHAnsi" w:hAnsiTheme="majorHAnsi"/>
          <w:b/>
          <w:color w:val="365F91" w:themeColor="accent1" w:themeShade="BF"/>
          <w:lang w:val="en-US" w:eastAsia="ko-KR"/>
        </w:rPr>
      </w:pPr>
    </w:p>
    <w:p w:rsidR="005301FE" w:rsidRPr="00B26894" w:rsidRDefault="005301FE" w:rsidP="00A110DB">
      <w:pPr>
        <w:pStyle w:val="ListeParagraf"/>
        <w:numPr>
          <w:ilvl w:val="0"/>
          <w:numId w:val="27"/>
        </w:numPr>
        <w:spacing w:after="0" w:line="360" w:lineRule="auto"/>
        <w:ind w:left="0" w:firstLine="0"/>
        <w:jc w:val="both"/>
        <w:rPr>
          <w:rFonts w:asciiTheme="majorHAnsi" w:eastAsia="Times New Roman" w:hAnsiTheme="majorHAnsi" w:cs="Times New Roman"/>
          <w:bCs/>
          <w:lang w:eastAsia="zh-CN"/>
        </w:rPr>
      </w:pPr>
      <w:r w:rsidRPr="00B26894">
        <w:rPr>
          <w:rFonts w:asciiTheme="majorHAnsi" w:eastAsia="Times New Roman" w:hAnsiTheme="majorHAnsi" w:cs="Times New Roman"/>
          <w:bCs/>
          <w:lang w:eastAsia="zh-CN"/>
        </w:rPr>
        <w:t xml:space="preserve">Kent 95 Aile Rehberliği Programının Yaygınlaştırılması” projesi Hollanda merkezli Bernard van Leer Vakfı tarafından fonlanmaktadır. Vakfın küresel ölçekte yürüttüğü Kent95 girişiminin Türkiye’deki ilk uygulaması olan İstanbul95 kapsamında geliştirilmiş ev ziyareti temelli önleyici müdahale programıdır.  Kent95, çocuk gelişiminde ilk üç yılın önemine ve kentlere üç yaşında sağlıklı bir çocuğun boyu olan 95 cm’den bakıldığında oluşacak toplumsal faydaya dikkat çekerek, kent planlaması ve kentte sunulan hizmetlerin 0-3 yaş arasında çocuğu olan aileler için iyileştirilmesini hedeflemektedir.  İstanbul95 kapsamında 2017-2020 yılları arasında Boğaziçi Üniversitesi Psikoloji Araştırma Uygulama Merkezi (BÜPAM) tarafından 0-3 yaş arasında çocuğu olan ailelere yönelik ev ziyareti temelli Aile Rehberliği Programı geliştirmiş ve belediyelerin saha uygulamasını denetleyerek, programın etkililik araştırmasını yürütülmüştür.  Aile Rehberliği Programı, doğum öncesinden başlayarak ilk üç yıl boyunca iki haftada bir gerçekleştirilen ev ziyaretleri ile annenin ebeveynlik becerilerini güçlendirmeyi ve çocuk gelişimini desteklemeyi hedeflemektedir.  “Kent 95 Aile Rehberliği Programının Yaygınlaştırılması” projesinde ise, dört ilçe belediyesi ile yürütülen başarılı pilot uygulama sonrasında, İstanbul Büyükşehir Belediyesine bağlı İstanbul Aile Danışma Eğitim Merkezleri (İSADEM), İzmir Büyükşehir Belediyesi, İzmir Karşıyaka İlçe Belediyesi ve İstanbul Şişli İlçe Belediyesi ile işbirlikleri geliştirilerek Aile Rehberliği programını yaygınlaştırma süreci başlamıştır. Bu aşamada, Aile Rehberliği eğitimi alan ev ziyaretçi sayısı İstanbul’da 88, İzmir’de 30 olurken, her iki şehirdeki toplam </w:t>
      </w:r>
      <w:proofErr w:type="gramStart"/>
      <w:r w:rsidRPr="00B26894">
        <w:rPr>
          <w:rFonts w:asciiTheme="majorHAnsi" w:eastAsia="Times New Roman" w:hAnsiTheme="majorHAnsi" w:cs="Times New Roman"/>
          <w:bCs/>
          <w:lang w:eastAsia="zh-CN"/>
        </w:rPr>
        <w:t>süpervizör</w:t>
      </w:r>
      <w:proofErr w:type="gramEnd"/>
      <w:r w:rsidRPr="00B26894">
        <w:rPr>
          <w:rFonts w:asciiTheme="majorHAnsi" w:eastAsia="Times New Roman" w:hAnsiTheme="majorHAnsi" w:cs="Times New Roman"/>
          <w:bCs/>
          <w:lang w:eastAsia="zh-CN"/>
        </w:rPr>
        <w:t xml:space="preserve"> sayısı 36’ya çıkmıştır. Programın ulaştığı aile sayısı ise her iki şehirde toplam 3.318 olmuştur. Yaygınlaştırmada kritik olan nokta, sayının artarken programda sunulan hizmet kalitesinin korunabilmesidir. Özellikle yaygınlaştırmanın ilk dönemlerinde programa katılan ailelerden, programı sahada uygulayan ev ziyaretçilerinden ve program idarecilerinden geri bildirimler almanın karşılaşılan zorlukları belirleyip geç kalmadan çözümler üretmek için çok önemli olduğu görüşü kabul görmektedir. Bu bağlamda, Aile Rehberliği programının yaygınlaştığı ilk sene sonunda hem ev ziyaretçileri hem de anneler ile odak grup görüşmeleri yapılarak bu sürecin değerlendirilmesi amaçlanmıştır.</w:t>
      </w:r>
    </w:p>
    <w:p w:rsidR="005301FE" w:rsidRPr="00B26894" w:rsidRDefault="005301FE" w:rsidP="00A110DB">
      <w:pPr>
        <w:pStyle w:val="ListeParagraf"/>
        <w:numPr>
          <w:ilvl w:val="0"/>
          <w:numId w:val="27"/>
        </w:numPr>
        <w:spacing w:after="0" w:line="360" w:lineRule="auto"/>
        <w:ind w:left="0" w:firstLine="0"/>
        <w:jc w:val="both"/>
        <w:rPr>
          <w:rFonts w:asciiTheme="majorHAnsi" w:eastAsia="Times New Roman" w:hAnsiTheme="majorHAnsi" w:cs="Times New Roman"/>
          <w:bCs/>
          <w:lang w:eastAsia="zh-CN"/>
        </w:rPr>
      </w:pPr>
      <w:r w:rsidRPr="00B26894">
        <w:rPr>
          <w:rFonts w:asciiTheme="majorHAnsi" w:eastAsia="Times New Roman" w:hAnsiTheme="majorHAnsi" w:cs="Times New Roman"/>
          <w:bCs/>
          <w:lang w:eastAsia="zh-CN"/>
        </w:rPr>
        <w:t xml:space="preserve">“İyi Bir Başlangıç Projesi” (ISTKA Çocuk ve Gençler Mali Destek Programı): 29 Temmuz 2022 tarihinde İstanbul Kalkınma Ajansı (İSTKA) desteği ile hayata geçirilen İyi Bir Başlangıç projesi 14 Ağustos 2023 tarihinde başarı ile tamamlandı. Sultanbeyli’deki yüksek çocuk ve genç nüfus potansiyelinin en iyi şekilde değerlendirmesi ve avantaja çevrilmesi amacıyla erken dönem ve okul öncesi dönemdeki çocukların fiziksel, bilişsel ve sosyo-duygusal becerilerinin geliştirilmesi ve orta ve uzun vadede ekonomik, kültürel ve sosyal yapıdaki dönüşümü yönlendirecek şekilde sağlıklı, mutlu, özgüvenli, donanımlı ve üretken bireyler olmalarına katkı sağlanması amaçlanmıştır. </w:t>
      </w:r>
      <w:bookmarkStart w:id="0" w:name="_GoBack"/>
      <w:bookmarkEnd w:id="0"/>
      <w:r w:rsidRPr="00B26894">
        <w:rPr>
          <w:rFonts w:asciiTheme="majorHAnsi" w:eastAsia="Times New Roman" w:hAnsiTheme="majorHAnsi" w:cs="Times New Roman"/>
          <w:bCs/>
          <w:lang w:eastAsia="zh-CN"/>
        </w:rPr>
        <w:t xml:space="preserve">Sultanbeyli İlçe Belediyesinin yürütücü olduğu bu projede BÜ proje </w:t>
      </w:r>
      <w:r w:rsidRPr="00B26894">
        <w:rPr>
          <w:rFonts w:asciiTheme="majorHAnsi" w:eastAsia="Times New Roman" w:hAnsiTheme="majorHAnsi" w:cs="Times New Roman"/>
          <w:bCs/>
          <w:lang w:eastAsia="zh-CN"/>
        </w:rPr>
        <w:lastRenderedPageBreak/>
        <w:t>ortağı olarak yer almıştır. Proje boyunca (1) 0- 12 aylık dönemindeki 180 bebeğin ev ziyareti temelli bir aile rehberlik programı ile fiziksel, bilişsel ve sosyo-duygusal becerilerin gelişimlerinin desteklenmesi ve yeni doğum yapmış 180 anneye bebek bakımının tüm aşamalarına ilişkin destek sağlanarak ebeveynlik konusunda bilgi-becerilerinin ve özgüvenlerinin artırılması ve bebek bakımında stres yaratan durumlar karşısında ruh sağlıklarının güçlendirilmesi, (2) 13-36 aylık dönemdeki 250 çocuğun grup çalışmaları ile zihinsel, sosyo-duyusal, dil ve hareket gelişimlerinin desteklenmesi ve bu çalışmalara katılan annelerin aynı yaşta çocuğu olan annelerle bir araya gelerek sosyalleşmeleri,  deneyim paylaşımında bulunmaları ve çocuklarıyla aralarında güçlü bağ kurulmasının sağlanması amaçlanmıştır. Sultanbeyli Belediyesinin önderliğinde yürütülen ve Boğaziçi Üniversitesi Erken Çocukluk Birimi BEBEK95’in ortak olarak yer aldığı bu projede Aile Rehberliği programları yıl boyunca uygulandı.</w:t>
      </w:r>
    </w:p>
    <w:p w:rsidR="005301FE" w:rsidRPr="004A5CBC" w:rsidRDefault="005301FE" w:rsidP="00A110DB">
      <w:pPr>
        <w:pStyle w:val="ListeParagraf"/>
        <w:numPr>
          <w:ilvl w:val="0"/>
          <w:numId w:val="27"/>
        </w:numPr>
        <w:spacing w:after="0" w:line="360" w:lineRule="auto"/>
        <w:ind w:left="0" w:firstLine="0"/>
        <w:jc w:val="both"/>
        <w:rPr>
          <w:rFonts w:ascii="Cambria" w:eastAsia="Times New Roman" w:hAnsi="Cambria" w:cs="Times New Roman"/>
          <w:bCs/>
          <w:lang w:eastAsia="zh-CN"/>
        </w:rPr>
      </w:pPr>
      <w:r w:rsidRPr="00B26894">
        <w:rPr>
          <w:rFonts w:asciiTheme="majorHAnsi" w:eastAsia="Times New Roman" w:hAnsiTheme="majorHAnsi" w:cs="Times New Roman"/>
          <w:bCs/>
          <w:lang w:eastAsia="zh-CN"/>
        </w:rPr>
        <w:t xml:space="preserve">Addenbrooke Kognitif Değerlendirme Bataryası-Gözden Geçirilmiş Versiyonu (ACE-R) Türkçe Formu'nun Görüntülü Telekonferans Uygulaması için Adaptasyon Çalışması: Son yıllarda görüntülü çevrimiçi teknolojiler sağlık alanın farklı kollarında (özellikle psikiyatri, klinik psikoloji, nöroloji ve </w:t>
      </w:r>
      <w:proofErr w:type="gramStart"/>
      <w:r w:rsidRPr="00B26894">
        <w:rPr>
          <w:rFonts w:asciiTheme="majorHAnsi" w:eastAsia="Times New Roman" w:hAnsiTheme="majorHAnsi" w:cs="Times New Roman"/>
          <w:bCs/>
          <w:lang w:eastAsia="zh-CN"/>
        </w:rPr>
        <w:t>rehabilitasyon</w:t>
      </w:r>
      <w:proofErr w:type="gramEnd"/>
      <w:r w:rsidRPr="00B26894">
        <w:rPr>
          <w:rFonts w:asciiTheme="majorHAnsi" w:eastAsia="Times New Roman" w:hAnsiTheme="majorHAnsi" w:cs="Times New Roman"/>
          <w:bCs/>
          <w:lang w:eastAsia="zh-CN"/>
        </w:rPr>
        <w:t xml:space="preserve">) çeşitli tıbbi hizmetler sunmak için kullanılmaktadır. Sağlık hizmetlerine erişimi olmayan bireyler için bir alternatif olarak ortaya çıkan görüntülü telekonferans, Covid-19 pandemi sürecinde sosyal </w:t>
      </w:r>
      <w:proofErr w:type="gramStart"/>
      <w:r w:rsidRPr="00B26894">
        <w:rPr>
          <w:rFonts w:asciiTheme="majorHAnsi" w:eastAsia="Times New Roman" w:hAnsiTheme="majorHAnsi" w:cs="Times New Roman"/>
          <w:bCs/>
          <w:lang w:eastAsia="zh-CN"/>
        </w:rPr>
        <w:t>izolasyon</w:t>
      </w:r>
      <w:proofErr w:type="gramEnd"/>
      <w:r w:rsidRPr="00B26894">
        <w:rPr>
          <w:rFonts w:asciiTheme="majorHAnsi" w:eastAsia="Times New Roman" w:hAnsiTheme="majorHAnsi" w:cs="Times New Roman"/>
          <w:bCs/>
          <w:lang w:eastAsia="zh-CN"/>
        </w:rPr>
        <w:t xml:space="preserve"> zorunlulukları altında bir gereklilik haline dönüşmüştür. Ülkemizde de bu süreçte psikiyatrik görüşmeler ve </w:t>
      </w:r>
      <w:proofErr w:type="gramStart"/>
      <w:r w:rsidRPr="00B26894">
        <w:rPr>
          <w:rFonts w:asciiTheme="majorHAnsi" w:eastAsia="Times New Roman" w:hAnsiTheme="majorHAnsi" w:cs="Times New Roman"/>
          <w:bCs/>
          <w:lang w:eastAsia="zh-CN"/>
        </w:rPr>
        <w:t>terapi</w:t>
      </w:r>
      <w:proofErr w:type="gramEnd"/>
      <w:r w:rsidRPr="00B26894">
        <w:rPr>
          <w:rFonts w:asciiTheme="majorHAnsi" w:eastAsia="Times New Roman" w:hAnsiTheme="majorHAnsi" w:cs="Times New Roman"/>
          <w:bCs/>
          <w:lang w:eastAsia="zh-CN"/>
        </w:rPr>
        <w:t xml:space="preserve"> seansları büyük oranda görüntülü telekonferans aracılığı ile yapılmıştır. Görüntülü telekonferans teknolojisinin klinik nöropsikoloji alanında kullanımı nispeten daha yenidir, ancak son yıllarda ivme kazanmıştır ve bunun sonucunda Amerika Birleşik Devletleri’nde “telenöropsikoloji” kavramı ortaya çıkmıştır. Ülkemizde ise bu konuda yapılmış bir araştırma yoktur. Bu araştırmada bir nöropsikolojik tarama testi olan Addenbrooke Kognitif Değerlendirme Bataryası-Gözden Geçirilmiş Versiyonu (ACE-R) Türkçe formunu görüntülü telekonferans kullanımı için adapte etmek amaçlanmıştır. Araştırmalar, bu tarama bataryasının Alzheimer Hastalığı başta olmak üzere pek çok nörolojik bozukluğun ön belirtilerini saptamada hassas olduğunu kanıtlamışlardır. ACE-R’nin Türkçe adaptasyon çalışması 2011 yılında tamamlanmıştır. Her ne kadar uzaktan nöropsikolojik tarama araçlarının geliştirilmesi pandemi dönemi ile tetiklenmiş bir süreç de olsa, uzmanlar bu değerlendirme bataryalarını pandemi sürecinin ötesinde kullanmaya devam edebileceklerdir. Uzaktan tarama testlerinin avantajları arasında fiziksel engellilik yüzünden hastane/kliniğe gelmesi zor veya bulunduğu bölgede bu tür servislere erişimi olmayan, olsa da ulaşım </w:t>
      </w:r>
      <w:proofErr w:type="gramStart"/>
      <w:r w:rsidRPr="00B26894">
        <w:rPr>
          <w:rFonts w:asciiTheme="majorHAnsi" w:eastAsia="Times New Roman" w:hAnsiTheme="majorHAnsi" w:cs="Times New Roman"/>
          <w:bCs/>
          <w:lang w:eastAsia="zh-CN"/>
        </w:rPr>
        <w:t>imkanları</w:t>
      </w:r>
      <w:proofErr w:type="gramEnd"/>
      <w:r w:rsidRPr="00B26894">
        <w:rPr>
          <w:rFonts w:asciiTheme="majorHAnsi" w:eastAsia="Times New Roman" w:hAnsiTheme="majorHAnsi" w:cs="Times New Roman"/>
          <w:bCs/>
          <w:lang w:eastAsia="zh-CN"/>
        </w:rPr>
        <w:t xml:space="preserve"> olmayan bireylerin ön değerlendirmelerinin yapılabilmesi sayılabilir. Bu şekilde uzmanlar zaman kazanmış olacağından değerlendirmelerin daha uygun ücret karşılığında yapılması sağlanabilir. Ayrıca bu tür uygulamalar hastane/kliniklerdeki hasta yoğunluğunun azalmasında rol oynayabilir. ACE-R, farklı uzmanların kısa zamanda öğrenip uygulayabileceği ve kısa sürede tamamlanabilen bir ölçektir. Proje Eylül 2023’te tamamlanmıştı</w:t>
      </w:r>
      <w:r w:rsidRPr="004A5CBC">
        <w:rPr>
          <w:rFonts w:ascii="Cambria" w:eastAsia="Times New Roman" w:hAnsi="Cambria" w:cs="Times New Roman"/>
          <w:bCs/>
          <w:lang w:eastAsia="zh-CN"/>
        </w:rPr>
        <w:t xml:space="preserve">r. </w:t>
      </w:r>
    </w:p>
    <w:p w:rsidR="005425C8" w:rsidRPr="004A5CBC" w:rsidRDefault="005425C8" w:rsidP="00D64406">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AF29BD" w:rsidRPr="004A5CBC" w:rsidRDefault="00AF29BD" w:rsidP="00D64406">
      <w:pPr>
        <w:tabs>
          <w:tab w:val="left" w:pos="2835"/>
        </w:tabs>
        <w:spacing w:after="0" w:line="300" w:lineRule="exact"/>
        <w:contextualSpacing/>
        <w:rPr>
          <w:rFonts w:asciiTheme="majorHAnsi" w:eastAsia="Calibri" w:hAnsiTheme="majorHAnsi" w:cs="InterstateLight"/>
          <w:b/>
          <w:color w:val="365F91" w:themeColor="accent1" w:themeShade="BF"/>
          <w:lang w:val="de-DE"/>
        </w:rPr>
      </w:pPr>
    </w:p>
    <w:p w:rsidR="004E1EC7" w:rsidRPr="004E1EC7" w:rsidRDefault="005301FE" w:rsidP="004E1EC7">
      <w:pPr>
        <w:spacing w:after="0" w:line="360" w:lineRule="auto"/>
        <w:jc w:val="both"/>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w:t>
      </w:r>
      <w:r w:rsidR="004E1EC7">
        <w:rPr>
          <w:rFonts w:ascii="Cambria" w:eastAsia="Calibri" w:hAnsi="Cambria" w:cs="Times New Roman"/>
          <w:b/>
          <w:color w:val="365F91" w:themeColor="accent1" w:themeShade="BF"/>
          <w:sz w:val="28"/>
          <w:szCs w:val="28"/>
          <w:lang w:eastAsia="tr-TR"/>
        </w:rPr>
        <w:t>X-</w:t>
      </w:r>
      <w:r w:rsidR="004E1EC7" w:rsidRPr="004E1EC7">
        <w:rPr>
          <w:rFonts w:ascii="Cambria" w:eastAsia="Calibri" w:hAnsi="Cambria" w:cs="Times New Roman"/>
          <w:b/>
          <w:color w:val="365F91" w:themeColor="accent1" w:themeShade="BF"/>
          <w:sz w:val="28"/>
          <w:szCs w:val="28"/>
          <w:lang w:eastAsia="tr-TR"/>
        </w:rPr>
        <w:t>ÖZDEĞERLENDİRME</w:t>
      </w:r>
    </w:p>
    <w:p w:rsidR="00A110DB" w:rsidRPr="00B26894" w:rsidRDefault="00A110DB" w:rsidP="00A110DB">
      <w:pPr>
        <w:spacing w:before="60" w:after="0" w:line="360" w:lineRule="auto"/>
        <w:jc w:val="both"/>
        <w:rPr>
          <w:rFonts w:asciiTheme="majorHAnsi" w:eastAsia="Times New Roman" w:hAnsiTheme="majorHAnsi" w:cs="Times New Roman"/>
          <w:b/>
          <w:lang w:eastAsia="zh-CN"/>
        </w:rPr>
      </w:pPr>
      <w:r w:rsidRPr="00B26894">
        <w:rPr>
          <w:rFonts w:asciiTheme="majorHAnsi" w:eastAsia="Times New Roman" w:hAnsiTheme="majorHAnsi" w:cs="Times New Roman"/>
          <w:bCs/>
          <w:lang w:eastAsia="zh-CN"/>
        </w:rPr>
        <w:t xml:space="preserve">Merkezimiz </w:t>
      </w:r>
      <w:proofErr w:type="gramStart"/>
      <w:r w:rsidRPr="00B26894">
        <w:rPr>
          <w:rFonts w:asciiTheme="majorHAnsi" w:eastAsia="Times New Roman" w:hAnsiTheme="majorHAnsi" w:cs="Times New Roman"/>
          <w:bCs/>
          <w:lang w:eastAsia="zh-CN"/>
        </w:rPr>
        <w:t>misyonunda</w:t>
      </w:r>
      <w:proofErr w:type="gramEnd"/>
      <w:r w:rsidRPr="00B26894">
        <w:rPr>
          <w:rFonts w:asciiTheme="majorHAnsi" w:eastAsia="Times New Roman" w:hAnsiTheme="majorHAnsi" w:cs="Times New Roman"/>
          <w:bCs/>
          <w:lang w:eastAsia="zh-CN"/>
        </w:rPr>
        <w:t xml:space="preserve"> topluma hizmet faaliyetlerini 2023 yılında da araştırmalar çerçevesinde devam ettirmiştir. Bunlar arasında eğitim programları da vardır. 2022 yılında klinik psikoloji yüksek lisans öğrencisi kabul edilmediği için öğrenci staj ve süpervizyon faaliyetleri 2023 yılında devam etmemiştir. 2023 yılında kabul alan 8 klinik psikoloji yüksek lisans öğrencisi Eylül 2024’ten başlayarak klinik stajları kapsamında merkeze başvuru yapan üniversite öğrencileri psikolojik danışmanlık taleplerini karşılamaya devam edecektir. </w:t>
      </w:r>
    </w:p>
    <w:p w:rsidR="00E84285" w:rsidRPr="00B26894" w:rsidRDefault="00E84285" w:rsidP="00A110DB">
      <w:pPr>
        <w:spacing w:before="60" w:after="0" w:line="300" w:lineRule="exact"/>
        <w:jc w:val="both"/>
        <w:rPr>
          <w:rFonts w:asciiTheme="majorHAnsi" w:hAnsiTheme="majorHAnsi"/>
          <w:lang w:eastAsia="ko-KR"/>
        </w:rPr>
      </w:pPr>
    </w:p>
    <w:sectPr w:rsidR="00E84285" w:rsidRPr="00B26894" w:rsidSect="00D9381D">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5F0" w:rsidRDefault="007515F0" w:rsidP="00D9381D">
      <w:pPr>
        <w:spacing w:after="0" w:line="240" w:lineRule="auto"/>
      </w:pPr>
      <w:r>
        <w:separator/>
      </w:r>
    </w:p>
  </w:endnote>
  <w:endnote w:type="continuationSeparator" w:id="0">
    <w:p w:rsidR="007515F0" w:rsidRDefault="007515F0"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00000007" w:usb1="00000000" w:usb2="00000000" w:usb3="00000000" w:csb0="00000093"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5F0" w:rsidRDefault="007515F0" w:rsidP="00D9381D">
      <w:pPr>
        <w:spacing w:after="0" w:line="240" w:lineRule="auto"/>
      </w:pPr>
      <w:r>
        <w:separator/>
      </w:r>
    </w:p>
  </w:footnote>
  <w:footnote w:type="continuationSeparator" w:id="0">
    <w:p w:rsidR="007515F0" w:rsidRDefault="007515F0"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8B0C37">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8B0C37" w:rsidRDefault="008F7334">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Psikoloji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3-01-01T00:00:00Z">
            <w:dateFormat w:val="yyyy"/>
            <w:lid w:val="tr-TR"/>
            <w:storeMappedDataAs w:val="dateTime"/>
            <w:calendar w:val="gregorian"/>
          </w:date>
        </w:sdtPr>
        <w:sdtEndPr/>
        <w:sdtContent>
          <w:tc>
            <w:tcPr>
              <w:tcW w:w="1105" w:type="dxa"/>
            </w:tcPr>
            <w:p w:rsidR="008B0C37" w:rsidRDefault="00F96350" w:rsidP="00BA239E">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2023</w:t>
              </w:r>
            </w:p>
          </w:tc>
        </w:sdtContent>
      </w:sdt>
    </w:tr>
  </w:tbl>
  <w:p w:rsidR="008B0C37" w:rsidRDefault="008B0C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25pt;height:11.25pt" o:bullet="t">
        <v:imagedata r:id="rId1" o:title="BD15132_"/>
      </v:shape>
    </w:pict>
  </w:numPicBullet>
  <w:abstractNum w:abstractNumId="0" w15:restartNumberingAfterBreak="0">
    <w:nsid w:val="04433642"/>
    <w:multiLevelType w:val="hybridMultilevel"/>
    <w:tmpl w:val="5822AA50"/>
    <w:lvl w:ilvl="0" w:tplc="EE4EC7F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B311DC"/>
    <w:multiLevelType w:val="hybridMultilevel"/>
    <w:tmpl w:val="926A5364"/>
    <w:lvl w:ilvl="0" w:tplc="FA2AC344">
      <w:start w:val="1"/>
      <w:numFmt w:val="upperLetter"/>
      <w:lvlText w:val="%1."/>
      <w:lvlJc w:val="left"/>
      <w:pPr>
        <w:tabs>
          <w:tab w:val="num" w:pos="720"/>
        </w:tabs>
        <w:ind w:left="720" w:hanging="360"/>
      </w:pPr>
      <w:rPr>
        <w:b/>
        <w:sz w:val="24"/>
        <w:szCs w:val="24"/>
      </w:rPr>
    </w:lvl>
    <w:lvl w:ilvl="1" w:tplc="041F0005">
      <w:start w:val="1"/>
      <w:numFmt w:val="bullet"/>
      <w:lvlText w:val=""/>
      <w:lvlJc w:val="left"/>
      <w:pPr>
        <w:tabs>
          <w:tab w:val="num" w:pos="1440"/>
        </w:tabs>
        <w:ind w:left="1440" w:hanging="360"/>
      </w:pPr>
      <w:rPr>
        <w:rFonts w:ascii="Wingdings" w:hAnsi="Wingdings" w:hint="default"/>
        <w:b/>
        <w:sz w:val="24"/>
        <w:szCs w:val="24"/>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0F5A1A66"/>
    <w:multiLevelType w:val="hybridMultilevel"/>
    <w:tmpl w:val="C854E9C4"/>
    <w:lvl w:ilvl="0" w:tplc="46EAE8D4">
      <w:start w:val="1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934550"/>
    <w:multiLevelType w:val="hybridMultilevel"/>
    <w:tmpl w:val="2E72512E"/>
    <w:lvl w:ilvl="0" w:tplc="8422A0CC">
      <w:start w:val="2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8837587"/>
    <w:multiLevelType w:val="hybridMultilevel"/>
    <w:tmpl w:val="9F1C7E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9" w15:restartNumberingAfterBreak="0">
    <w:nsid w:val="3298213B"/>
    <w:multiLevelType w:val="hybridMultilevel"/>
    <w:tmpl w:val="D966CCC6"/>
    <w:lvl w:ilvl="0" w:tplc="078CDB3A">
      <w:start w:val="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15:restartNumberingAfterBreak="0">
    <w:nsid w:val="45964072"/>
    <w:multiLevelType w:val="hybridMultilevel"/>
    <w:tmpl w:val="7A465B56"/>
    <w:lvl w:ilvl="0" w:tplc="D0C0D80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4C5117A7"/>
    <w:multiLevelType w:val="hybridMultilevel"/>
    <w:tmpl w:val="0CA20E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4"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6"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7"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9" w15:restartNumberingAfterBreak="0">
    <w:nsid w:val="68F82E1F"/>
    <w:multiLevelType w:val="multilevel"/>
    <w:tmpl w:val="0E12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744619"/>
    <w:multiLevelType w:val="hybridMultilevel"/>
    <w:tmpl w:val="303864E8"/>
    <w:lvl w:ilvl="0" w:tplc="3C282002">
      <w:start w:val="1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2B141EA"/>
    <w:multiLevelType w:val="hybridMultilevel"/>
    <w:tmpl w:val="A3989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F3120F"/>
    <w:multiLevelType w:val="hybridMultilevel"/>
    <w:tmpl w:val="A63CB558"/>
    <w:lvl w:ilvl="0" w:tplc="B8EA9744">
      <w:start w:val="1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5"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26"/>
  </w:num>
  <w:num w:numId="3">
    <w:abstractNumId w:val="6"/>
  </w:num>
  <w:num w:numId="4">
    <w:abstractNumId w:val="4"/>
  </w:num>
  <w:num w:numId="5">
    <w:abstractNumId w:val="25"/>
  </w:num>
  <w:num w:numId="6">
    <w:abstractNumId w:val="17"/>
  </w:num>
  <w:num w:numId="7">
    <w:abstractNumId w:val="14"/>
  </w:num>
  <w:num w:numId="8">
    <w:abstractNumId w:val="8"/>
  </w:num>
  <w:num w:numId="9">
    <w:abstractNumId w:val="24"/>
  </w:num>
  <w:num w:numId="10">
    <w:abstractNumId w:val="1"/>
  </w:num>
  <w:num w:numId="11">
    <w:abstractNumId w:val="18"/>
  </w:num>
  <w:num w:numId="12">
    <w:abstractNumId w:val="15"/>
  </w:num>
  <w:num w:numId="13">
    <w:abstractNumId w:val="13"/>
  </w:num>
  <w:num w:numId="14">
    <w:abstractNumId w:val="16"/>
  </w:num>
  <w:num w:numId="15">
    <w:abstractNumId w:val="10"/>
  </w:num>
  <w:num w:numId="16">
    <w:abstractNumId w:val="22"/>
  </w:num>
  <w:num w:numId="17">
    <w:abstractNumId w:val="9"/>
  </w:num>
  <w:num w:numId="18">
    <w:abstractNumId w:val="23"/>
  </w:num>
  <w:num w:numId="19">
    <w:abstractNumId w:val="11"/>
  </w:num>
  <w:num w:numId="20">
    <w:abstractNumId w:val="3"/>
  </w:num>
  <w:num w:numId="21">
    <w:abstractNumId w:val="5"/>
  </w:num>
  <w:num w:numId="22">
    <w:abstractNumId w:val="20"/>
  </w:num>
  <w:num w:numId="23">
    <w:abstractNumId w:val="12"/>
  </w:num>
  <w:num w:numId="24">
    <w:abstractNumId w:val="19"/>
  </w:num>
  <w:num w:numId="25">
    <w:abstractNumId w:val="2"/>
  </w:num>
  <w:num w:numId="26">
    <w:abstractNumId w:val="7"/>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3C62"/>
    <w:rsid w:val="000068F1"/>
    <w:rsid w:val="00006C0B"/>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407CA"/>
    <w:rsid w:val="0004109B"/>
    <w:rsid w:val="00042CD7"/>
    <w:rsid w:val="00045483"/>
    <w:rsid w:val="000459E0"/>
    <w:rsid w:val="000472C8"/>
    <w:rsid w:val="00050B4B"/>
    <w:rsid w:val="0005301A"/>
    <w:rsid w:val="00054259"/>
    <w:rsid w:val="00064866"/>
    <w:rsid w:val="000712B6"/>
    <w:rsid w:val="00071818"/>
    <w:rsid w:val="00071A9C"/>
    <w:rsid w:val="00074A37"/>
    <w:rsid w:val="00076588"/>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147"/>
    <w:rsid w:val="000B26AF"/>
    <w:rsid w:val="000B60C2"/>
    <w:rsid w:val="000B65F8"/>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60FA"/>
    <w:rsid w:val="000F0096"/>
    <w:rsid w:val="000F0592"/>
    <w:rsid w:val="00103979"/>
    <w:rsid w:val="00103A39"/>
    <w:rsid w:val="00106F2C"/>
    <w:rsid w:val="001143C7"/>
    <w:rsid w:val="00121071"/>
    <w:rsid w:val="001221D1"/>
    <w:rsid w:val="00122FFC"/>
    <w:rsid w:val="00124E27"/>
    <w:rsid w:val="00125B29"/>
    <w:rsid w:val="001262F6"/>
    <w:rsid w:val="00126DB4"/>
    <w:rsid w:val="0013058D"/>
    <w:rsid w:val="00133E65"/>
    <w:rsid w:val="00140178"/>
    <w:rsid w:val="001409EE"/>
    <w:rsid w:val="00143EA3"/>
    <w:rsid w:val="00145601"/>
    <w:rsid w:val="001548FD"/>
    <w:rsid w:val="00154952"/>
    <w:rsid w:val="00154DD8"/>
    <w:rsid w:val="00155685"/>
    <w:rsid w:val="001573D9"/>
    <w:rsid w:val="0016014C"/>
    <w:rsid w:val="0016057D"/>
    <w:rsid w:val="00161C1D"/>
    <w:rsid w:val="001659C1"/>
    <w:rsid w:val="00167E33"/>
    <w:rsid w:val="00170172"/>
    <w:rsid w:val="00171240"/>
    <w:rsid w:val="00171500"/>
    <w:rsid w:val="00172F13"/>
    <w:rsid w:val="00173C63"/>
    <w:rsid w:val="00174DDB"/>
    <w:rsid w:val="00175E78"/>
    <w:rsid w:val="001770EC"/>
    <w:rsid w:val="0017782C"/>
    <w:rsid w:val="001803BA"/>
    <w:rsid w:val="001811D2"/>
    <w:rsid w:val="00182F67"/>
    <w:rsid w:val="00185230"/>
    <w:rsid w:val="00185F00"/>
    <w:rsid w:val="0019168B"/>
    <w:rsid w:val="00191B0B"/>
    <w:rsid w:val="00192530"/>
    <w:rsid w:val="0019349B"/>
    <w:rsid w:val="001A0DA7"/>
    <w:rsid w:val="001A58CA"/>
    <w:rsid w:val="001A769F"/>
    <w:rsid w:val="001B0FD7"/>
    <w:rsid w:val="001B3A74"/>
    <w:rsid w:val="001B56DB"/>
    <w:rsid w:val="001B64B8"/>
    <w:rsid w:val="001B7F8B"/>
    <w:rsid w:val="001C13BE"/>
    <w:rsid w:val="001C32B6"/>
    <w:rsid w:val="001C48E0"/>
    <w:rsid w:val="001C57B5"/>
    <w:rsid w:val="001C78E3"/>
    <w:rsid w:val="001D131C"/>
    <w:rsid w:val="001D5ACE"/>
    <w:rsid w:val="001D5BE7"/>
    <w:rsid w:val="001E1D3A"/>
    <w:rsid w:val="001E202B"/>
    <w:rsid w:val="001E5E22"/>
    <w:rsid w:val="001F1502"/>
    <w:rsid w:val="001F2460"/>
    <w:rsid w:val="001F5C3E"/>
    <w:rsid w:val="001F5D40"/>
    <w:rsid w:val="001F5EDE"/>
    <w:rsid w:val="001F611E"/>
    <w:rsid w:val="001F76A9"/>
    <w:rsid w:val="00202020"/>
    <w:rsid w:val="0020443C"/>
    <w:rsid w:val="00204DFD"/>
    <w:rsid w:val="002074ED"/>
    <w:rsid w:val="00210035"/>
    <w:rsid w:val="00212934"/>
    <w:rsid w:val="00214BA5"/>
    <w:rsid w:val="0021572A"/>
    <w:rsid w:val="00216612"/>
    <w:rsid w:val="002170F4"/>
    <w:rsid w:val="00217925"/>
    <w:rsid w:val="00220BAD"/>
    <w:rsid w:val="002219EC"/>
    <w:rsid w:val="002233C3"/>
    <w:rsid w:val="0022708F"/>
    <w:rsid w:val="00231FDC"/>
    <w:rsid w:val="0023337A"/>
    <w:rsid w:val="00235FA1"/>
    <w:rsid w:val="00237172"/>
    <w:rsid w:val="00237FD3"/>
    <w:rsid w:val="0024069D"/>
    <w:rsid w:val="002430E9"/>
    <w:rsid w:val="00246E71"/>
    <w:rsid w:val="002471B2"/>
    <w:rsid w:val="00256B00"/>
    <w:rsid w:val="002631D1"/>
    <w:rsid w:val="00276123"/>
    <w:rsid w:val="002822B5"/>
    <w:rsid w:val="00283DC8"/>
    <w:rsid w:val="00285883"/>
    <w:rsid w:val="00287D31"/>
    <w:rsid w:val="0029239A"/>
    <w:rsid w:val="0029310B"/>
    <w:rsid w:val="002940B2"/>
    <w:rsid w:val="002A02BD"/>
    <w:rsid w:val="002A0F81"/>
    <w:rsid w:val="002A19BE"/>
    <w:rsid w:val="002A1FA3"/>
    <w:rsid w:val="002A6AD6"/>
    <w:rsid w:val="002B0077"/>
    <w:rsid w:val="002B17EF"/>
    <w:rsid w:val="002B30B7"/>
    <w:rsid w:val="002B5AA5"/>
    <w:rsid w:val="002B7276"/>
    <w:rsid w:val="002B7BC3"/>
    <w:rsid w:val="002C02B9"/>
    <w:rsid w:val="002C0C4F"/>
    <w:rsid w:val="002C3DB7"/>
    <w:rsid w:val="002C3E05"/>
    <w:rsid w:val="002C51C0"/>
    <w:rsid w:val="002C6AB0"/>
    <w:rsid w:val="002C7307"/>
    <w:rsid w:val="002C791C"/>
    <w:rsid w:val="002D3212"/>
    <w:rsid w:val="002D5CCD"/>
    <w:rsid w:val="002D6349"/>
    <w:rsid w:val="002E006E"/>
    <w:rsid w:val="002E24AC"/>
    <w:rsid w:val="002E2CF3"/>
    <w:rsid w:val="002E41DC"/>
    <w:rsid w:val="002F02E1"/>
    <w:rsid w:val="002F2D96"/>
    <w:rsid w:val="002F32EF"/>
    <w:rsid w:val="002F4AE7"/>
    <w:rsid w:val="002F5625"/>
    <w:rsid w:val="002F77DE"/>
    <w:rsid w:val="003025F9"/>
    <w:rsid w:val="003038EA"/>
    <w:rsid w:val="00303CC9"/>
    <w:rsid w:val="003049CC"/>
    <w:rsid w:val="0030701A"/>
    <w:rsid w:val="00312D37"/>
    <w:rsid w:val="00317CEC"/>
    <w:rsid w:val="00322DED"/>
    <w:rsid w:val="00323F84"/>
    <w:rsid w:val="003254AC"/>
    <w:rsid w:val="00325B59"/>
    <w:rsid w:val="00325BAD"/>
    <w:rsid w:val="00326B29"/>
    <w:rsid w:val="0033213F"/>
    <w:rsid w:val="00334753"/>
    <w:rsid w:val="00340E6C"/>
    <w:rsid w:val="00344193"/>
    <w:rsid w:val="00346684"/>
    <w:rsid w:val="00346EF9"/>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35EA"/>
    <w:rsid w:val="00376E85"/>
    <w:rsid w:val="00380136"/>
    <w:rsid w:val="00383CFC"/>
    <w:rsid w:val="00385B94"/>
    <w:rsid w:val="0038602B"/>
    <w:rsid w:val="00386C7C"/>
    <w:rsid w:val="00387378"/>
    <w:rsid w:val="0039136C"/>
    <w:rsid w:val="00391A1C"/>
    <w:rsid w:val="00394B6C"/>
    <w:rsid w:val="003965E5"/>
    <w:rsid w:val="00396F6A"/>
    <w:rsid w:val="003974F8"/>
    <w:rsid w:val="003A24F7"/>
    <w:rsid w:val="003A33C4"/>
    <w:rsid w:val="003A36D3"/>
    <w:rsid w:val="003A53E2"/>
    <w:rsid w:val="003A636B"/>
    <w:rsid w:val="003B27BE"/>
    <w:rsid w:val="003B3E46"/>
    <w:rsid w:val="003B435F"/>
    <w:rsid w:val="003B5A4B"/>
    <w:rsid w:val="003B5FCB"/>
    <w:rsid w:val="003B65A3"/>
    <w:rsid w:val="003C115C"/>
    <w:rsid w:val="003C4984"/>
    <w:rsid w:val="003C5100"/>
    <w:rsid w:val="003D0DB7"/>
    <w:rsid w:val="003D319F"/>
    <w:rsid w:val="003D3FF6"/>
    <w:rsid w:val="003D561E"/>
    <w:rsid w:val="003E01B1"/>
    <w:rsid w:val="003E066B"/>
    <w:rsid w:val="003E06CD"/>
    <w:rsid w:val="003E1385"/>
    <w:rsid w:val="003E28EA"/>
    <w:rsid w:val="003E2DD7"/>
    <w:rsid w:val="003E3F67"/>
    <w:rsid w:val="003E5EED"/>
    <w:rsid w:val="003F2B90"/>
    <w:rsid w:val="003F30FE"/>
    <w:rsid w:val="003F3BB1"/>
    <w:rsid w:val="003F6307"/>
    <w:rsid w:val="003F6459"/>
    <w:rsid w:val="003F7A37"/>
    <w:rsid w:val="003F7B31"/>
    <w:rsid w:val="003F7D68"/>
    <w:rsid w:val="00400F7C"/>
    <w:rsid w:val="00403386"/>
    <w:rsid w:val="004058A4"/>
    <w:rsid w:val="00405C5C"/>
    <w:rsid w:val="00406C2D"/>
    <w:rsid w:val="00407A55"/>
    <w:rsid w:val="00410B32"/>
    <w:rsid w:val="004123EC"/>
    <w:rsid w:val="00412E4B"/>
    <w:rsid w:val="00417465"/>
    <w:rsid w:val="00417F44"/>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80F5E"/>
    <w:rsid w:val="004811EB"/>
    <w:rsid w:val="00482A0E"/>
    <w:rsid w:val="00483B58"/>
    <w:rsid w:val="00490AF5"/>
    <w:rsid w:val="00496543"/>
    <w:rsid w:val="004A1BC4"/>
    <w:rsid w:val="004A5711"/>
    <w:rsid w:val="004A5CBC"/>
    <w:rsid w:val="004A7650"/>
    <w:rsid w:val="004B011A"/>
    <w:rsid w:val="004B1722"/>
    <w:rsid w:val="004B4BFD"/>
    <w:rsid w:val="004C21B1"/>
    <w:rsid w:val="004D0C9D"/>
    <w:rsid w:val="004D311C"/>
    <w:rsid w:val="004D536E"/>
    <w:rsid w:val="004D6C5B"/>
    <w:rsid w:val="004D7CC9"/>
    <w:rsid w:val="004E1EC7"/>
    <w:rsid w:val="004E22D3"/>
    <w:rsid w:val="004E4D19"/>
    <w:rsid w:val="004E51AA"/>
    <w:rsid w:val="004E678D"/>
    <w:rsid w:val="004E7E6E"/>
    <w:rsid w:val="004F0FF2"/>
    <w:rsid w:val="004F242E"/>
    <w:rsid w:val="004F38FF"/>
    <w:rsid w:val="004F58DE"/>
    <w:rsid w:val="004F5E83"/>
    <w:rsid w:val="00501BED"/>
    <w:rsid w:val="005022F3"/>
    <w:rsid w:val="00505E0E"/>
    <w:rsid w:val="00506350"/>
    <w:rsid w:val="005067D2"/>
    <w:rsid w:val="00506B20"/>
    <w:rsid w:val="0051112C"/>
    <w:rsid w:val="00511E29"/>
    <w:rsid w:val="00516818"/>
    <w:rsid w:val="00517001"/>
    <w:rsid w:val="00520D93"/>
    <w:rsid w:val="0052177C"/>
    <w:rsid w:val="00521C9F"/>
    <w:rsid w:val="00521E49"/>
    <w:rsid w:val="00522364"/>
    <w:rsid w:val="00523845"/>
    <w:rsid w:val="0052536A"/>
    <w:rsid w:val="00526B57"/>
    <w:rsid w:val="005301FE"/>
    <w:rsid w:val="00531583"/>
    <w:rsid w:val="00532361"/>
    <w:rsid w:val="00532D0E"/>
    <w:rsid w:val="00533D49"/>
    <w:rsid w:val="005370F2"/>
    <w:rsid w:val="00537E6D"/>
    <w:rsid w:val="00540127"/>
    <w:rsid w:val="00540D54"/>
    <w:rsid w:val="00542545"/>
    <w:rsid w:val="005425C8"/>
    <w:rsid w:val="00545EDC"/>
    <w:rsid w:val="00546DFE"/>
    <w:rsid w:val="0055030A"/>
    <w:rsid w:val="00553FAD"/>
    <w:rsid w:val="005559C4"/>
    <w:rsid w:val="00556994"/>
    <w:rsid w:val="00561B73"/>
    <w:rsid w:val="005631C0"/>
    <w:rsid w:val="00565AC6"/>
    <w:rsid w:val="00566276"/>
    <w:rsid w:val="005673FE"/>
    <w:rsid w:val="0057119A"/>
    <w:rsid w:val="005725BC"/>
    <w:rsid w:val="0057380E"/>
    <w:rsid w:val="00575830"/>
    <w:rsid w:val="00576DE6"/>
    <w:rsid w:val="00580285"/>
    <w:rsid w:val="00581A31"/>
    <w:rsid w:val="005847F1"/>
    <w:rsid w:val="00585DD7"/>
    <w:rsid w:val="00586744"/>
    <w:rsid w:val="005878EE"/>
    <w:rsid w:val="00587D31"/>
    <w:rsid w:val="00590A9E"/>
    <w:rsid w:val="00592236"/>
    <w:rsid w:val="005952A7"/>
    <w:rsid w:val="005A2F3A"/>
    <w:rsid w:val="005A5A10"/>
    <w:rsid w:val="005A7DAF"/>
    <w:rsid w:val="005B2526"/>
    <w:rsid w:val="005B3708"/>
    <w:rsid w:val="005B5091"/>
    <w:rsid w:val="005B55C1"/>
    <w:rsid w:val="005B5A92"/>
    <w:rsid w:val="005B6F1E"/>
    <w:rsid w:val="005C0DC1"/>
    <w:rsid w:val="005C0F64"/>
    <w:rsid w:val="005C2C11"/>
    <w:rsid w:val="005C6064"/>
    <w:rsid w:val="005D3BD8"/>
    <w:rsid w:val="005D46FD"/>
    <w:rsid w:val="005D5625"/>
    <w:rsid w:val="005D63EE"/>
    <w:rsid w:val="005D7C1F"/>
    <w:rsid w:val="005E3EAD"/>
    <w:rsid w:val="005E49C9"/>
    <w:rsid w:val="005E52BF"/>
    <w:rsid w:val="005E6A2E"/>
    <w:rsid w:val="005E7F9C"/>
    <w:rsid w:val="005F6699"/>
    <w:rsid w:val="006021BF"/>
    <w:rsid w:val="00604006"/>
    <w:rsid w:val="006065B6"/>
    <w:rsid w:val="0061099A"/>
    <w:rsid w:val="0061139A"/>
    <w:rsid w:val="00611DE3"/>
    <w:rsid w:val="006142D7"/>
    <w:rsid w:val="0061666F"/>
    <w:rsid w:val="006210D4"/>
    <w:rsid w:val="006211F7"/>
    <w:rsid w:val="00621D23"/>
    <w:rsid w:val="006226C6"/>
    <w:rsid w:val="00625E58"/>
    <w:rsid w:val="00626955"/>
    <w:rsid w:val="00626FBE"/>
    <w:rsid w:val="00627FC1"/>
    <w:rsid w:val="00631224"/>
    <w:rsid w:val="00633FF6"/>
    <w:rsid w:val="00635620"/>
    <w:rsid w:val="006375F6"/>
    <w:rsid w:val="006467D3"/>
    <w:rsid w:val="00650006"/>
    <w:rsid w:val="00650BC6"/>
    <w:rsid w:val="00653E77"/>
    <w:rsid w:val="00654156"/>
    <w:rsid w:val="00660C79"/>
    <w:rsid w:val="00662015"/>
    <w:rsid w:val="00662B2C"/>
    <w:rsid w:val="00662D02"/>
    <w:rsid w:val="00671368"/>
    <w:rsid w:val="006716C4"/>
    <w:rsid w:val="00671F48"/>
    <w:rsid w:val="00673A62"/>
    <w:rsid w:val="00673FFC"/>
    <w:rsid w:val="00674DAD"/>
    <w:rsid w:val="00675786"/>
    <w:rsid w:val="006757EC"/>
    <w:rsid w:val="00677BDE"/>
    <w:rsid w:val="00682598"/>
    <w:rsid w:val="00683B7A"/>
    <w:rsid w:val="006877B3"/>
    <w:rsid w:val="00694A07"/>
    <w:rsid w:val="006958ED"/>
    <w:rsid w:val="00696ABA"/>
    <w:rsid w:val="00696F88"/>
    <w:rsid w:val="00697D19"/>
    <w:rsid w:val="006A08EB"/>
    <w:rsid w:val="006A0990"/>
    <w:rsid w:val="006A0BD8"/>
    <w:rsid w:val="006A1D7D"/>
    <w:rsid w:val="006A5899"/>
    <w:rsid w:val="006A5C66"/>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6C21"/>
    <w:rsid w:val="0070282C"/>
    <w:rsid w:val="00702C86"/>
    <w:rsid w:val="007069E9"/>
    <w:rsid w:val="007073B1"/>
    <w:rsid w:val="00707A39"/>
    <w:rsid w:val="00707BCC"/>
    <w:rsid w:val="00713D89"/>
    <w:rsid w:val="00716235"/>
    <w:rsid w:val="00717DB8"/>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15F0"/>
    <w:rsid w:val="00753431"/>
    <w:rsid w:val="007552EF"/>
    <w:rsid w:val="0075656F"/>
    <w:rsid w:val="0076005F"/>
    <w:rsid w:val="00762119"/>
    <w:rsid w:val="007623CA"/>
    <w:rsid w:val="007646E5"/>
    <w:rsid w:val="00774E8C"/>
    <w:rsid w:val="007759A2"/>
    <w:rsid w:val="00781E1E"/>
    <w:rsid w:val="0078224D"/>
    <w:rsid w:val="00782DFD"/>
    <w:rsid w:val="0078301E"/>
    <w:rsid w:val="00784D2D"/>
    <w:rsid w:val="007868CE"/>
    <w:rsid w:val="00787477"/>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27FF"/>
    <w:rsid w:val="007B353A"/>
    <w:rsid w:val="007B407D"/>
    <w:rsid w:val="007B4FE3"/>
    <w:rsid w:val="007B5602"/>
    <w:rsid w:val="007B6312"/>
    <w:rsid w:val="007C1F9F"/>
    <w:rsid w:val="007C236D"/>
    <w:rsid w:val="007C3C91"/>
    <w:rsid w:val="007C78A8"/>
    <w:rsid w:val="007C7A5B"/>
    <w:rsid w:val="007D1D35"/>
    <w:rsid w:val="007D2359"/>
    <w:rsid w:val="007D3647"/>
    <w:rsid w:val="007D5A2F"/>
    <w:rsid w:val="007D63CA"/>
    <w:rsid w:val="007D6DE5"/>
    <w:rsid w:val="007E1BB5"/>
    <w:rsid w:val="007E27DE"/>
    <w:rsid w:val="007E3439"/>
    <w:rsid w:val="007E6736"/>
    <w:rsid w:val="007F0207"/>
    <w:rsid w:val="007F09D1"/>
    <w:rsid w:val="007F0DFF"/>
    <w:rsid w:val="007F13CB"/>
    <w:rsid w:val="00802ECA"/>
    <w:rsid w:val="008047A2"/>
    <w:rsid w:val="00805635"/>
    <w:rsid w:val="00805C70"/>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4505"/>
    <w:rsid w:val="008456BA"/>
    <w:rsid w:val="008470BE"/>
    <w:rsid w:val="00854862"/>
    <w:rsid w:val="00861971"/>
    <w:rsid w:val="0086432E"/>
    <w:rsid w:val="00865D23"/>
    <w:rsid w:val="00867201"/>
    <w:rsid w:val="00867795"/>
    <w:rsid w:val="00874D2E"/>
    <w:rsid w:val="008750F4"/>
    <w:rsid w:val="008755F6"/>
    <w:rsid w:val="008759F2"/>
    <w:rsid w:val="008800E9"/>
    <w:rsid w:val="008807B8"/>
    <w:rsid w:val="008819FC"/>
    <w:rsid w:val="00881DC3"/>
    <w:rsid w:val="00882862"/>
    <w:rsid w:val="00883EE4"/>
    <w:rsid w:val="008841F2"/>
    <w:rsid w:val="00884238"/>
    <w:rsid w:val="00885087"/>
    <w:rsid w:val="00885A32"/>
    <w:rsid w:val="008866C9"/>
    <w:rsid w:val="00890A85"/>
    <w:rsid w:val="00892D0D"/>
    <w:rsid w:val="00895934"/>
    <w:rsid w:val="008A0C9B"/>
    <w:rsid w:val="008A35B1"/>
    <w:rsid w:val="008A56EE"/>
    <w:rsid w:val="008A5CBC"/>
    <w:rsid w:val="008B0C37"/>
    <w:rsid w:val="008B3CBA"/>
    <w:rsid w:val="008B4627"/>
    <w:rsid w:val="008B4792"/>
    <w:rsid w:val="008B6926"/>
    <w:rsid w:val="008D1AA4"/>
    <w:rsid w:val="008D27DB"/>
    <w:rsid w:val="008D7CD1"/>
    <w:rsid w:val="008E23EF"/>
    <w:rsid w:val="008E4E94"/>
    <w:rsid w:val="008E6EBE"/>
    <w:rsid w:val="008E733D"/>
    <w:rsid w:val="008F2793"/>
    <w:rsid w:val="008F291E"/>
    <w:rsid w:val="008F5B66"/>
    <w:rsid w:val="008F5EB0"/>
    <w:rsid w:val="008F5FFF"/>
    <w:rsid w:val="008F7334"/>
    <w:rsid w:val="008F7829"/>
    <w:rsid w:val="009032D3"/>
    <w:rsid w:val="00903C01"/>
    <w:rsid w:val="0091087E"/>
    <w:rsid w:val="009134C1"/>
    <w:rsid w:val="00914222"/>
    <w:rsid w:val="00921C35"/>
    <w:rsid w:val="00922493"/>
    <w:rsid w:val="00924438"/>
    <w:rsid w:val="0092458B"/>
    <w:rsid w:val="00926D70"/>
    <w:rsid w:val="009279F1"/>
    <w:rsid w:val="00927F05"/>
    <w:rsid w:val="009330B2"/>
    <w:rsid w:val="009345B1"/>
    <w:rsid w:val="009364CE"/>
    <w:rsid w:val="00937950"/>
    <w:rsid w:val="00940EEE"/>
    <w:rsid w:val="00941339"/>
    <w:rsid w:val="009413C5"/>
    <w:rsid w:val="0094199C"/>
    <w:rsid w:val="009425D3"/>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7522"/>
    <w:rsid w:val="009709CE"/>
    <w:rsid w:val="00972020"/>
    <w:rsid w:val="009760B7"/>
    <w:rsid w:val="00976F03"/>
    <w:rsid w:val="00984730"/>
    <w:rsid w:val="009901F6"/>
    <w:rsid w:val="0099106C"/>
    <w:rsid w:val="00993F1B"/>
    <w:rsid w:val="00996BF5"/>
    <w:rsid w:val="009972CD"/>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6CD2"/>
    <w:rsid w:val="009E70F8"/>
    <w:rsid w:val="009E758E"/>
    <w:rsid w:val="009F0404"/>
    <w:rsid w:val="009F0753"/>
    <w:rsid w:val="009F2B61"/>
    <w:rsid w:val="009F2E20"/>
    <w:rsid w:val="009F4023"/>
    <w:rsid w:val="009F49A3"/>
    <w:rsid w:val="009F594D"/>
    <w:rsid w:val="00A02459"/>
    <w:rsid w:val="00A0490D"/>
    <w:rsid w:val="00A0526E"/>
    <w:rsid w:val="00A057E5"/>
    <w:rsid w:val="00A05CF9"/>
    <w:rsid w:val="00A05E9B"/>
    <w:rsid w:val="00A07B42"/>
    <w:rsid w:val="00A10070"/>
    <w:rsid w:val="00A10980"/>
    <w:rsid w:val="00A10CDB"/>
    <w:rsid w:val="00A110DB"/>
    <w:rsid w:val="00A1235C"/>
    <w:rsid w:val="00A133BE"/>
    <w:rsid w:val="00A14BB8"/>
    <w:rsid w:val="00A15C13"/>
    <w:rsid w:val="00A15CED"/>
    <w:rsid w:val="00A160E0"/>
    <w:rsid w:val="00A16B01"/>
    <w:rsid w:val="00A16C63"/>
    <w:rsid w:val="00A178AE"/>
    <w:rsid w:val="00A219D5"/>
    <w:rsid w:val="00A226BC"/>
    <w:rsid w:val="00A22D2A"/>
    <w:rsid w:val="00A25A7E"/>
    <w:rsid w:val="00A27E16"/>
    <w:rsid w:val="00A27E32"/>
    <w:rsid w:val="00A35ADA"/>
    <w:rsid w:val="00A41D59"/>
    <w:rsid w:val="00A50C8A"/>
    <w:rsid w:val="00A50E9F"/>
    <w:rsid w:val="00A51C55"/>
    <w:rsid w:val="00A53E5B"/>
    <w:rsid w:val="00A558D5"/>
    <w:rsid w:val="00A60215"/>
    <w:rsid w:val="00A612E0"/>
    <w:rsid w:val="00A67FC5"/>
    <w:rsid w:val="00A7092A"/>
    <w:rsid w:val="00A75686"/>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4DDE"/>
    <w:rsid w:val="00AC5794"/>
    <w:rsid w:val="00AD15F6"/>
    <w:rsid w:val="00AD2634"/>
    <w:rsid w:val="00AD5238"/>
    <w:rsid w:val="00AD5926"/>
    <w:rsid w:val="00AD6025"/>
    <w:rsid w:val="00AD7407"/>
    <w:rsid w:val="00AE037B"/>
    <w:rsid w:val="00AE15D8"/>
    <w:rsid w:val="00AE3061"/>
    <w:rsid w:val="00AE3070"/>
    <w:rsid w:val="00AE4E9E"/>
    <w:rsid w:val="00AE68F5"/>
    <w:rsid w:val="00AF2655"/>
    <w:rsid w:val="00AF27E8"/>
    <w:rsid w:val="00AF29BD"/>
    <w:rsid w:val="00AF2DC3"/>
    <w:rsid w:val="00AF4730"/>
    <w:rsid w:val="00B016E2"/>
    <w:rsid w:val="00B0523B"/>
    <w:rsid w:val="00B05430"/>
    <w:rsid w:val="00B05F5E"/>
    <w:rsid w:val="00B072F7"/>
    <w:rsid w:val="00B075FE"/>
    <w:rsid w:val="00B10703"/>
    <w:rsid w:val="00B13989"/>
    <w:rsid w:val="00B14EFC"/>
    <w:rsid w:val="00B17C2C"/>
    <w:rsid w:val="00B22F90"/>
    <w:rsid w:val="00B26894"/>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62071"/>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A0995"/>
    <w:rsid w:val="00BA239E"/>
    <w:rsid w:val="00BA27C9"/>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E1343"/>
    <w:rsid w:val="00BF08B9"/>
    <w:rsid w:val="00BF5A17"/>
    <w:rsid w:val="00BF5AE2"/>
    <w:rsid w:val="00BF6896"/>
    <w:rsid w:val="00BF78E4"/>
    <w:rsid w:val="00BF7A64"/>
    <w:rsid w:val="00BF7DC0"/>
    <w:rsid w:val="00C05D83"/>
    <w:rsid w:val="00C05F09"/>
    <w:rsid w:val="00C071FC"/>
    <w:rsid w:val="00C110D3"/>
    <w:rsid w:val="00C11E85"/>
    <w:rsid w:val="00C13B05"/>
    <w:rsid w:val="00C14524"/>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661"/>
    <w:rsid w:val="00C43B1C"/>
    <w:rsid w:val="00C46BFD"/>
    <w:rsid w:val="00C52C17"/>
    <w:rsid w:val="00C52C81"/>
    <w:rsid w:val="00C559B3"/>
    <w:rsid w:val="00C60496"/>
    <w:rsid w:val="00C61760"/>
    <w:rsid w:val="00C61FEF"/>
    <w:rsid w:val="00C65B78"/>
    <w:rsid w:val="00C66525"/>
    <w:rsid w:val="00C66726"/>
    <w:rsid w:val="00C712BD"/>
    <w:rsid w:val="00C72B68"/>
    <w:rsid w:val="00C76248"/>
    <w:rsid w:val="00C773BF"/>
    <w:rsid w:val="00C77F1D"/>
    <w:rsid w:val="00C825C8"/>
    <w:rsid w:val="00C83639"/>
    <w:rsid w:val="00C839FE"/>
    <w:rsid w:val="00C840A6"/>
    <w:rsid w:val="00C84437"/>
    <w:rsid w:val="00C848DA"/>
    <w:rsid w:val="00C86327"/>
    <w:rsid w:val="00C917D1"/>
    <w:rsid w:val="00C9299F"/>
    <w:rsid w:val="00C936A2"/>
    <w:rsid w:val="00C95CC8"/>
    <w:rsid w:val="00CA3D6D"/>
    <w:rsid w:val="00CA3EDF"/>
    <w:rsid w:val="00CA4C2D"/>
    <w:rsid w:val="00CA548D"/>
    <w:rsid w:val="00CA73A6"/>
    <w:rsid w:val="00CB122E"/>
    <w:rsid w:val="00CB2CDD"/>
    <w:rsid w:val="00CB33A4"/>
    <w:rsid w:val="00CB4F93"/>
    <w:rsid w:val="00CB572A"/>
    <w:rsid w:val="00CB6EA9"/>
    <w:rsid w:val="00CB702E"/>
    <w:rsid w:val="00CC044E"/>
    <w:rsid w:val="00CC53C8"/>
    <w:rsid w:val="00CD64A4"/>
    <w:rsid w:val="00CE229A"/>
    <w:rsid w:val="00CE3F1D"/>
    <w:rsid w:val="00CE3F6F"/>
    <w:rsid w:val="00CE6890"/>
    <w:rsid w:val="00CE68EE"/>
    <w:rsid w:val="00CF35BF"/>
    <w:rsid w:val="00CF6691"/>
    <w:rsid w:val="00CF77C3"/>
    <w:rsid w:val="00D01076"/>
    <w:rsid w:val="00D03645"/>
    <w:rsid w:val="00D0465C"/>
    <w:rsid w:val="00D06D89"/>
    <w:rsid w:val="00D07D99"/>
    <w:rsid w:val="00D16997"/>
    <w:rsid w:val="00D16D4D"/>
    <w:rsid w:val="00D215B5"/>
    <w:rsid w:val="00D223C5"/>
    <w:rsid w:val="00D23791"/>
    <w:rsid w:val="00D26869"/>
    <w:rsid w:val="00D27D52"/>
    <w:rsid w:val="00D3072E"/>
    <w:rsid w:val="00D324AB"/>
    <w:rsid w:val="00D32ECF"/>
    <w:rsid w:val="00D34F03"/>
    <w:rsid w:val="00D42114"/>
    <w:rsid w:val="00D452D3"/>
    <w:rsid w:val="00D50B7A"/>
    <w:rsid w:val="00D53C35"/>
    <w:rsid w:val="00D55C7B"/>
    <w:rsid w:val="00D60587"/>
    <w:rsid w:val="00D60632"/>
    <w:rsid w:val="00D60675"/>
    <w:rsid w:val="00D64406"/>
    <w:rsid w:val="00D650B6"/>
    <w:rsid w:val="00D6516E"/>
    <w:rsid w:val="00D6527A"/>
    <w:rsid w:val="00D6747B"/>
    <w:rsid w:val="00D67E43"/>
    <w:rsid w:val="00D71D5E"/>
    <w:rsid w:val="00D736CE"/>
    <w:rsid w:val="00D73EAD"/>
    <w:rsid w:val="00D754BD"/>
    <w:rsid w:val="00D76A4E"/>
    <w:rsid w:val="00D76D14"/>
    <w:rsid w:val="00D76DA7"/>
    <w:rsid w:val="00D82699"/>
    <w:rsid w:val="00D83B0A"/>
    <w:rsid w:val="00D9067F"/>
    <w:rsid w:val="00D9080F"/>
    <w:rsid w:val="00D9120B"/>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1222F"/>
    <w:rsid w:val="00E13C0F"/>
    <w:rsid w:val="00E14D67"/>
    <w:rsid w:val="00E157E2"/>
    <w:rsid w:val="00E17ECD"/>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1778"/>
    <w:rsid w:val="00E84285"/>
    <w:rsid w:val="00E91D46"/>
    <w:rsid w:val="00E9233C"/>
    <w:rsid w:val="00E94D16"/>
    <w:rsid w:val="00EA0E43"/>
    <w:rsid w:val="00EA3058"/>
    <w:rsid w:val="00EA7416"/>
    <w:rsid w:val="00EB42EA"/>
    <w:rsid w:val="00EB456B"/>
    <w:rsid w:val="00EC23A7"/>
    <w:rsid w:val="00EC2857"/>
    <w:rsid w:val="00EC5CC3"/>
    <w:rsid w:val="00EC6734"/>
    <w:rsid w:val="00ED29DF"/>
    <w:rsid w:val="00ED32B4"/>
    <w:rsid w:val="00ED40C9"/>
    <w:rsid w:val="00ED4D98"/>
    <w:rsid w:val="00ED5FAA"/>
    <w:rsid w:val="00EE0E06"/>
    <w:rsid w:val="00EE13AD"/>
    <w:rsid w:val="00EE2CF3"/>
    <w:rsid w:val="00EE77E4"/>
    <w:rsid w:val="00EF5CE4"/>
    <w:rsid w:val="00EF6EC2"/>
    <w:rsid w:val="00EF7600"/>
    <w:rsid w:val="00F00EE1"/>
    <w:rsid w:val="00F0637C"/>
    <w:rsid w:val="00F10903"/>
    <w:rsid w:val="00F10BB0"/>
    <w:rsid w:val="00F12452"/>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220"/>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5077"/>
    <w:rsid w:val="00F5797C"/>
    <w:rsid w:val="00F57B7F"/>
    <w:rsid w:val="00F613D9"/>
    <w:rsid w:val="00F63440"/>
    <w:rsid w:val="00F647E4"/>
    <w:rsid w:val="00F652E7"/>
    <w:rsid w:val="00F673E9"/>
    <w:rsid w:val="00F72D6D"/>
    <w:rsid w:val="00F75731"/>
    <w:rsid w:val="00F8284B"/>
    <w:rsid w:val="00F82D4F"/>
    <w:rsid w:val="00F84B25"/>
    <w:rsid w:val="00F865CB"/>
    <w:rsid w:val="00F90678"/>
    <w:rsid w:val="00F92AA9"/>
    <w:rsid w:val="00F92F51"/>
    <w:rsid w:val="00F9419D"/>
    <w:rsid w:val="00F953DE"/>
    <w:rsid w:val="00F95D14"/>
    <w:rsid w:val="00F96350"/>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D5D77"/>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E62B"/>
  <w15:docId w15:val="{F867DAFD-F022-41D6-9447-067C3F4A2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character" w:styleId="Gl">
    <w:name w:val="Strong"/>
    <w:uiPriority w:val="22"/>
    <w:qFormat/>
    <w:rsid w:val="00AF29BD"/>
    <w:rPr>
      <w:b/>
      <w:bCs/>
    </w:rPr>
  </w:style>
  <w:style w:type="paragraph" w:styleId="DipnotMetni">
    <w:name w:val="footnote text"/>
    <w:basedOn w:val="Normal"/>
    <w:link w:val="DipnotMetniChar"/>
    <w:rsid w:val="00AF29BD"/>
    <w:pPr>
      <w:spacing w:after="0" w:line="240" w:lineRule="auto"/>
    </w:pPr>
    <w:rPr>
      <w:rFonts w:ascii="Calibri" w:eastAsia="Times New Roman" w:hAnsi="Calibri" w:cs="Times New Roman"/>
      <w:sz w:val="20"/>
      <w:szCs w:val="20"/>
    </w:rPr>
  </w:style>
  <w:style w:type="character" w:customStyle="1" w:styleId="DipnotMetniChar">
    <w:name w:val="Dipnot Metni Char"/>
    <w:basedOn w:val="VarsaylanParagrafYazTipi"/>
    <w:link w:val="DipnotMetni"/>
    <w:rsid w:val="00AF29BD"/>
    <w:rPr>
      <w:rFonts w:ascii="Calibri" w:eastAsia="Times New Roman" w:hAnsi="Calibri" w:cs="Times New Roman"/>
      <w:sz w:val="20"/>
      <w:szCs w:val="20"/>
    </w:rPr>
  </w:style>
  <w:style w:type="character" w:styleId="DipnotBavurusu">
    <w:name w:val="footnote reference"/>
    <w:rsid w:val="00AF29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0514C2-8752-4672-81C2-3DEF44539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2196</Words>
  <Characters>12522</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Psikoloji Uygulama ve Araştırma Merkezi</vt:lpstr>
    </vt:vector>
  </TitlesOfParts>
  <Company/>
  <LinksUpToDate>false</LinksUpToDate>
  <CharactersWithSpaces>14689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Psikoloji Uygulama ve Araştırma Merkezi</dc:title>
  <dc:subject>2023</dc:subject>
  <dc:creator>Gülşen Mutlu</dc:creator>
  <cp:lastModifiedBy>user</cp:lastModifiedBy>
  <cp:revision>36</cp:revision>
  <dcterms:created xsi:type="dcterms:W3CDTF">2023-01-04T06:19:00Z</dcterms:created>
  <dcterms:modified xsi:type="dcterms:W3CDTF">2024-03-25T13:41:00Z</dcterms:modified>
</cp:coreProperties>
</file>