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170841"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İş Analitiği ve Müşteri İçgörüsü</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170841" w:rsidP="00E14770">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w:t>
                    </w:r>
                    <w:r w:rsidR="00E627AD">
                      <w:rPr>
                        <w:b/>
                        <w:sz w:val="72"/>
                        <w:szCs w:val="72"/>
                      </w:rPr>
                      <w:t>3</w:t>
                    </w:r>
                  </w:sdtContent>
                </w:sdt>
              </w:p>
            </w:tc>
          </w:tr>
          <w:tr w:rsidR="00D9381D">
            <w:trPr>
              <w:trHeight w:val="1152"/>
            </w:trPr>
            <w:tc>
              <w:tcPr>
                <w:tcW w:w="0" w:type="auto"/>
                <w:vAlign w:val="bottom"/>
              </w:tcPr>
              <w:p w:rsidR="00D9381D" w:rsidRDefault="0017084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EFCA9BC" wp14:editId="1E086FE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4A8200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AE71C" wp14:editId="5140FB5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3AE9B1"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4F7B843" wp14:editId="6E64B2E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4F7B84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2F926C" wp14:editId="4410F8B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A68BDB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A21BF18" wp14:editId="5BACF44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Misyon</w:t>
      </w:r>
      <w:r w:rsidRPr="002471B2">
        <w:rPr>
          <w:rFonts w:asciiTheme="majorHAnsi" w:eastAsia="Calibri" w:hAnsiTheme="majorHAnsi" w:cs="InterstateLight"/>
          <w:lang w:val="de-DE"/>
        </w:rPr>
        <w:t>: Endüstri kurumlarının problemlerine bilimsel teorileri uygulayıp, endüstri pratikleriyle de akademik çalışmaları besleyerek, akademi endüstri arasındaki boşluğu doldurmak, disiplinerarası çalışmaların yürütülebilmesi için bir platform oluşturmak, yeni yöntem ve bilgi teknolojilerini işbirliği yapılan kurumların iş süreçlerine entegre edilmesine katkıda bulunmak, lisans ve lisansüstü öğrencilere işbirliği yapılan kurumların sağlayacağı eğitim, staj, projelerde yer alarak deneyim kazanma fırsatı sunmak, uluslararası alandaki araştırma merkezleriyle işbirlikleri yaparak, uluslararası ölçekte akademik çalışmalar yürütmek.</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b/>
          <w:lang w:val="de-DE"/>
        </w:rPr>
        <w:t>Vizyon:</w:t>
      </w:r>
      <w:r w:rsidRPr="002471B2">
        <w:rPr>
          <w:rFonts w:asciiTheme="majorHAnsi" w:eastAsia="Calibri" w:hAnsiTheme="majorHAnsi" w:cs="InterstateLight"/>
          <w:lang w:val="de-DE"/>
        </w:rPr>
        <w:t xml:space="preserve"> Karma yöntem araştırmaları doğrultusunda disiplinlerarası çalışmaları teşvik ederek üniversite ve endüstri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2016 yılında kurulmuş olan Boğaziçi Üniversitesi İş Analitiği ve Müşteri İçgörüsü Uygulama ve Araştırma Merkezi (AIM), disiplinlerarası bir yaklaşımla endüstri kurumlarıyla işbirlikleri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b/>
          <w:lang w:val="de-DE"/>
        </w:rPr>
      </w:pPr>
      <w:r w:rsidRPr="002471B2">
        <w:rPr>
          <w:rFonts w:asciiTheme="majorHAnsi" w:eastAsia="Calibri" w:hAnsiTheme="majorHAnsi" w:cs="InterstateLight"/>
          <w:b/>
          <w:lang w:val="de-DE"/>
        </w:rPr>
        <w:t>Merkezin Amaçları:</w:t>
      </w:r>
    </w:p>
    <w:p w:rsidR="00627B57" w:rsidRPr="002471B2" w:rsidRDefault="00627B57" w:rsidP="009E783B">
      <w:pPr>
        <w:spacing w:after="0" w:line="300" w:lineRule="exact"/>
        <w:jc w:val="both"/>
        <w:rPr>
          <w:rFonts w:asciiTheme="majorHAnsi" w:eastAsia="Calibri" w:hAnsiTheme="majorHAnsi" w:cs="InterstateLight"/>
          <w:b/>
          <w:lang w:val="de-DE"/>
        </w:rPr>
      </w:pP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a) Disiplinlerarası bir araştırma ortamı oluşturarak niteliksel ve niceliksel araştırma yöntemlerinin birlikte kullanıldığı karma yöntem araştırmalarının yaygınlaştırılmasına katkı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b) Dünya ölçeğindeki güncel örnekleri gibi niteliksel ve niceliksel yöntemleri birlikte kullanarak nitelikli insan gücü yetiştirilmesine ve yenilikçi yöntemlerin geliştirilmesine katkıda bulunmak,</w:t>
      </w:r>
    </w:p>
    <w:p w:rsidR="00832C1E"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c) Ham veriden analiz ve aksiyona doğru giden tüm süreçte, verinin toplanması, bulunduğu operasyonel ortamlardan çekilmesi, dönüştürülmesi ve açık ortamlardaki yapısal olmayan verilerle birlikte analiz edilmesi, analiz sonuçlarından çeşitli içgörüler elde edilmesi ve bu içgörüler neticesinde aksiyon alınabilecek iş stratejilerinin belirlenmesi ile ilgili çözümleri </w:t>
      </w:r>
      <w:proofErr w:type="gramStart"/>
      <w:r w:rsidRPr="00627B57">
        <w:rPr>
          <w:rFonts w:asciiTheme="majorHAnsi" w:eastAsia="Times New Roman" w:hAnsiTheme="majorHAnsi" w:cs="Times New Roman"/>
          <w:szCs w:val="20"/>
          <w:lang w:eastAsia="zh-CN"/>
        </w:rPr>
        <w:t>entegre</w:t>
      </w:r>
      <w:proofErr w:type="gramEnd"/>
      <w:r w:rsidRPr="00627B57">
        <w:rPr>
          <w:rFonts w:asciiTheme="majorHAnsi" w:eastAsia="Times New Roman" w:hAnsiTheme="majorHAnsi" w:cs="Times New Roman"/>
          <w:szCs w:val="20"/>
          <w:lang w:eastAsia="zh-CN"/>
        </w:rPr>
        <w:t xml:space="preserve"> bir şekilde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ç) Sürekli evrilen müşteri davranışları dinamiklerini anlamak ve büyük veriden tahmine dayalı öngörüler elde etmek,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d) Endüstri ve Üniversite işbirliği sayesinde güncel akademik teorileri endüstriye taşımak ve beraberinde güncel endüstri pratikleriyle akademik araştırmaları beslemek,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e) İşbirliğinde bulunduğu kurumların gerçek hayat problemlerine disiplinlerarası bir yaklaşımla çözüm getirmeye odaklanmak ve yapılan bu uygulamaların akademik araştırmaya dönüştürülmesini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f) Alanındaki teorik ve </w:t>
      </w:r>
      <w:proofErr w:type="gramStart"/>
      <w:r w:rsidRPr="00627B57">
        <w:rPr>
          <w:rFonts w:asciiTheme="majorHAnsi" w:eastAsia="Times New Roman" w:hAnsiTheme="majorHAnsi" w:cs="Times New Roman"/>
          <w:szCs w:val="20"/>
          <w:lang w:eastAsia="zh-CN"/>
        </w:rPr>
        <w:t>ampirik</w:t>
      </w:r>
      <w:proofErr w:type="gramEnd"/>
      <w:r w:rsidRPr="00627B57">
        <w:rPr>
          <w:rFonts w:asciiTheme="majorHAnsi" w:eastAsia="Times New Roman" w:hAnsiTheme="majorHAnsi" w:cs="Times New Roman"/>
          <w:szCs w:val="20"/>
          <w:lang w:eastAsia="zh-CN"/>
        </w:rPr>
        <w:t xml:space="preserve"> çalışmaları ile Boğaziçi Üniversitesinin ülkemizde bu alandaki boşluğu doldurmasına imkan sağlamak ve Üniversite-endüstri işbirliğini kolaylaştırmak,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g) Alanında öncü bir araştırma merkezi olarak Boğaziçi Üniversitesinin uluslararası saygınlığına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ğ) İşbirlikleri çerçevesinde geliştireceği projeler ile Boğaziçi Üniversitesinin bu alanlardaki akademik üretkenliğine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lastRenderedPageBreak/>
        <w:t>h) Üniversitenin bu alanda uluslararası referans olacak uygulama ve araştırma adreslerinden biri haline gelmesine katkıda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ı) Yeni yöntem, algoritma ve teknolojilerin kurumların iş süreçlerinde kullanılması ile verimlilik artışına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i) Diğer araştırma merkezleri ile işbirliği içerisinde Ar-Ge ve inovasyona dayalı özgün yerli teknolojiler ve yüksek katma değerli ürünler geliştirmek,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j) Üretilen akademik çalışmalar ışığında mevzuat hazırlayıcı ve düzenleyici kurumlara politika tavsiyelerinde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k) Akademik kurumlar ile diğer kamu, özel sektör kuruluşları arasında iş analitiği ve karma yöntem araştırmaları konularında etkili fikir alışverişi ve işbirliğinin inşasını ve gelişimini sağlamak,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l) İş analitiği teknolojilerinin etkin kullanımını desteklemek ve yaygınlaştırmak için danışmanlık ve eğitim faaliyetlerinde bulunmak,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m) Konusunda lider yabancı üniversitelerde hâlihazırda bulunan benzer merkezlerle işbirliğine giderek araştırma ve eğitim alanındaki çalışmalarını uluslararası boyuta taşımak,</w:t>
      </w:r>
    </w:p>
    <w:p w:rsidR="00832C1E" w:rsidRPr="00627B57" w:rsidRDefault="00832C1E" w:rsidP="00832C1E">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 xml:space="preserve">n) Lisans, yüksek lisans ve doktora seviyesinde öğrencilerin gerçek iş problemleri üzerinde çalışmalarına </w:t>
      </w:r>
      <w:proofErr w:type="gramStart"/>
      <w:r w:rsidRPr="00627B57">
        <w:rPr>
          <w:rFonts w:asciiTheme="majorHAnsi" w:eastAsia="Times New Roman" w:hAnsiTheme="majorHAnsi" w:cs="Times New Roman"/>
          <w:szCs w:val="20"/>
          <w:lang w:eastAsia="zh-CN"/>
        </w:rPr>
        <w:t>imkan</w:t>
      </w:r>
      <w:proofErr w:type="gramEnd"/>
      <w:r w:rsidRPr="00627B57">
        <w:rPr>
          <w:rFonts w:asciiTheme="majorHAnsi" w:eastAsia="Times New Roman" w:hAnsiTheme="majorHAnsi" w:cs="Times New Roman"/>
          <w:szCs w:val="20"/>
          <w:lang w:eastAsia="zh-CN"/>
        </w:rPr>
        <w:t xml:space="preserve"> sağlayarak uygulamalı araştırma üretilmesine ve öğrencilerin iş hayatına hazır hale gelmelerine katkıda bulunmak,</w:t>
      </w:r>
    </w:p>
    <w:p w:rsidR="00832C1E" w:rsidRDefault="00832C1E" w:rsidP="00167C10">
      <w:pPr>
        <w:spacing w:after="0" w:line="300" w:lineRule="exact"/>
        <w:jc w:val="both"/>
        <w:rPr>
          <w:rFonts w:asciiTheme="majorHAnsi" w:eastAsia="Times New Roman" w:hAnsiTheme="majorHAnsi" w:cs="Times New Roman"/>
          <w:szCs w:val="20"/>
          <w:lang w:eastAsia="zh-CN"/>
        </w:rPr>
      </w:pPr>
      <w:r w:rsidRPr="00627B57">
        <w:rPr>
          <w:rFonts w:asciiTheme="majorHAnsi" w:eastAsia="Times New Roman" w:hAnsiTheme="majorHAnsi" w:cs="Times New Roman"/>
          <w:szCs w:val="20"/>
          <w:lang w:eastAsia="zh-CN"/>
        </w:rPr>
        <w:t>o) Bilimsel dergilerde ve yayın organlarında uluslararası standartlara uygun yayınlar yaparak alana katkıda bulunmak.</w:t>
      </w:r>
    </w:p>
    <w:p w:rsidR="00167C10" w:rsidRPr="00167C10" w:rsidRDefault="00167C10" w:rsidP="00167C10">
      <w:pPr>
        <w:spacing w:after="0" w:line="300" w:lineRule="exact"/>
        <w:jc w:val="both"/>
        <w:rPr>
          <w:rFonts w:asciiTheme="majorHAnsi" w:eastAsia="Times New Roman" w:hAnsiTheme="majorHAnsi" w:cs="Times New Roman"/>
          <w:szCs w:val="20"/>
          <w:lang w:eastAsia="zh-CN"/>
        </w:rPr>
      </w:pPr>
    </w:p>
    <w:p w:rsidR="00832C1E" w:rsidRDefault="00832C1E"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761F32">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r w:rsidR="002471B2" w:rsidRPr="009E783B">
        <w:rPr>
          <w:rFonts w:asciiTheme="majorHAnsi" w:eastAsia="Calibri" w:hAnsiTheme="majorHAnsi" w:cs="InterstateLight"/>
          <w:lang w:val="de-DE"/>
        </w:rPr>
        <w:t>İş analitiği ve müşteri içgörüsü alanında kuramsal 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Yapılan çalışmaların bilinirliliğini artırmak üzere yayın ve çeviri çalışmaları, bilimsel toplantı, kongre, çalıştay ve konferanslar yapmak.</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Default="009907AF" w:rsidP="00832C1E">
      <w:pPr>
        <w:pStyle w:val="ListeParagraf"/>
        <w:numPr>
          <w:ilvl w:val="0"/>
          <w:numId w:val="18"/>
        </w:numPr>
        <w:spacing w:after="0" w:line="300" w:lineRule="exact"/>
        <w:ind w:left="426" w:hanging="436"/>
        <w:rPr>
          <w:rFonts w:asciiTheme="majorHAnsi" w:eastAsia="Calibri" w:hAnsiTheme="majorHAnsi" w:cs="InterstateLight"/>
          <w:b/>
          <w:lang w:val="de-DE"/>
        </w:rPr>
      </w:pPr>
      <w:r w:rsidRPr="00832C1E">
        <w:rPr>
          <w:rFonts w:asciiTheme="majorHAnsi" w:eastAsia="Calibri" w:hAnsiTheme="majorHAnsi" w:cs="InterstateLight"/>
          <w:b/>
          <w:lang w:val="de-DE"/>
        </w:rPr>
        <w:t>Örgüt Yapısı</w:t>
      </w:r>
    </w:p>
    <w:p w:rsidR="00832C1E" w:rsidRPr="00832C1E" w:rsidRDefault="00832C1E" w:rsidP="00832C1E">
      <w:pPr>
        <w:spacing w:after="0" w:line="300" w:lineRule="exact"/>
        <w:ind w:left="-10"/>
        <w:rPr>
          <w:rFonts w:asciiTheme="majorHAnsi" w:eastAsia="Calibri" w:hAnsiTheme="majorHAnsi" w:cs="InterstateLight"/>
          <w:b/>
          <w:lang w:val="de-DE"/>
        </w:rPr>
      </w:pPr>
    </w:p>
    <w:p w:rsidR="009907AF" w:rsidRPr="00D43825"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Müdürü:</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Doç. Dr. Yavuz Acar</w:t>
      </w:r>
    </w:p>
    <w:p w:rsidR="009907AF" w:rsidRPr="00D43825" w:rsidRDefault="009907AF" w:rsidP="009907AF">
      <w:pPr>
        <w:spacing w:after="0" w:line="300" w:lineRule="exact"/>
        <w:rPr>
          <w:rFonts w:asciiTheme="majorHAnsi" w:eastAsia="Calibri" w:hAnsiTheme="majorHAnsi" w:cs="InterstateLight"/>
          <w:lang w:val="de-DE"/>
        </w:rPr>
      </w:pPr>
      <w:r w:rsidRPr="009907AF">
        <w:rPr>
          <w:rFonts w:asciiTheme="majorHAnsi" w:eastAsia="Calibri" w:hAnsiTheme="majorHAnsi" w:cs="InterstateLight"/>
          <w:b/>
          <w:lang w:val="de-DE"/>
        </w:rPr>
        <w:t>Merkez Müdür Yardımcıları:</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Prof. Dr. Gökhan Özertan</w:t>
      </w:r>
    </w:p>
    <w:p w:rsidR="009907AF" w:rsidRPr="00D43825" w:rsidRDefault="009907AF" w:rsidP="00D43825">
      <w:pPr>
        <w:spacing w:after="0" w:line="300" w:lineRule="exact"/>
        <w:rPr>
          <w:rFonts w:asciiTheme="majorHAnsi" w:hAnsiTheme="majorHAnsi"/>
          <w:b/>
        </w:rPr>
      </w:pPr>
      <w:r w:rsidRPr="009907AF">
        <w:rPr>
          <w:rFonts w:asciiTheme="majorHAnsi" w:eastAsia="Calibri" w:hAnsiTheme="majorHAnsi" w:cs="InterstateLight"/>
          <w:b/>
          <w:lang w:val="de-DE"/>
        </w:rPr>
        <w:t>Yönetim Kurulu Üyeleri:</w:t>
      </w:r>
      <w:r w:rsidRPr="009907AF">
        <w:rPr>
          <w:rFonts w:asciiTheme="majorHAnsi" w:eastAsia="Calibri" w:hAnsiTheme="majorHAnsi" w:cs="InterstateLight"/>
          <w:lang w:val="de-DE"/>
        </w:rPr>
        <w:t xml:space="preserve"> </w:t>
      </w:r>
      <w:r w:rsidR="00D43825" w:rsidRPr="00D43825">
        <w:rPr>
          <w:rFonts w:asciiTheme="majorHAnsi" w:eastAsia="Calibri" w:hAnsiTheme="majorHAnsi" w:cs="InterstateLight"/>
          <w:lang w:val="de-DE"/>
        </w:rPr>
        <w:t>Doç. Dr. Ya</w:t>
      </w:r>
      <w:r w:rsidR="00167C10">
        <w:rPr>
          <w:rFonts w:asciiTheme="majorHAnsi" w:eastAsia="Calibri" w:hAnsiTheme="majorHAnsi" w:cs="InterstateLight"/>
          <w:lang w:val="de-DE"/>
        </w:rPr>
        <w:t xml:space="preserve">vuz Acar, Doç. Dr. Ali Coşkun, </w:t>
      </w:r>
      <w:r w:rsidR="00D43825" w:rsidRPr="00D43825">
        <w:rPr>
          <w:rFonts w:asciiTheme="majorHAnsi" w:eastAsia="Calibri" w:hAnsiTheme="majorHAnsi" w:cs="InterstateLight"/>
          <w:lang w:val="de-DE"/>
        </w:rPr>
        <w:t>Prof. Dr. Gökhan Özertan, Prof. Dr. Emin Anarım, Doç. Dr. Özgün Burcu Rodopman Acar</w:t>
      </w:r>
    </w:p>
    <w:p w:rsidR="00EF2E1F" w:rsidRDefault="00EF2E1F" w:rsidP="009907AF">
      <w:pPr>
        <w:rPr>
          <w:rFonts w:asciiTheme="majorHAnsi" w:hAnsiTheme="majorHAnsi"/>
          <w:b/>
        </w:rPr>
      </w:pPr>
    </w:p>
    <w:p w:rsidR="00167C10" w:rsidRDefault="00167C10" w:rsidP="009907AF">
      <w:pPr>
        <w:rPr>
          <w:rFonts w:asciiTheme="majorHAnsi" w:hAnsiTheme="majorHAnsi"/>
          <w:b/>
        </w:rPr>
      </w:pPr>
    </w:p>
    <w:p w:rsidR="00167C10" w:rsidRDefault="00167C10" w:rsidP="009907AF">
      <w:pPr>
        <w:rPr>
          <w:rFonts w:asciiTheme="majorHAnsi" w:hAnsiTheme="majorHAnsi"/>
          <w:b/>
        </w:rPr>
      </w:pPr>
    </w:p>
    <w:p w:rsidR="00D43825" w:rsidRPr="00D43825" w:rsidRDefault="00D43825" w:rsidP="009907AF">
      <w:pPr>
        <w:rPr>
          <w:rFonts w:asciiTheme="majorHAnsi" w:hAnsiTheme="majorHAnsi"/>
          <w:b/>
        </w:rPr>
      </w:pPr>
    </w:p>
    <w:p w:rsidR="009907AF" w:rsidRPr="00D43825" w:rsidRDefault="009907AF" w:rsidP="00D43825">
      <w:pPr>
        <w:pStyle w:val="ListeParagraf"/>
        <w:numPr>
          <w:ilvl w:val="0"/>
          <w:numId w:val="18"/>
        </w:numPr>
        <w:rPr>
          <w:rFonts w:asciiTheme="majorHAnsi" w:hAnsiTheme="majorHAnsi"/>
          <w:b/>
        </w:rPr>
      </w:pPr>
      <w:r w:rsidRPr="00D43825">
        <w:rPr>
          <w:rFonts w:asciiTheme="majorHAnsi" w:hAnsiTheme="majorHAnsi"/>
          <w:b/>
        </w:rPr>
        <w:lastRenderedPageBreak/>
        <w:t xml:space="preserve">Teşkilat Şeması </w:t>
      </w:r>
    </w:p>
    <w:p w:rsidR="009907AF" w:rsidRPr="00D43825" w:rsidRDefault="009907AF" w:rsidP="009907AF">
      <w:pPr>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9959"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Müdürü</w:t>
                      </w:r>
                    </w:p>
                    <w:p w:rsidR="009907AF" w:rsidRPr="00D43825" w:rsidRDefault="00D43825" w:rsidP="009907AF">
                      <w:pPr>
                        <w:jc w:val="center"/>
                        <w:rPr>
                          <w:rFonts w:asciiTheme="majorHAnsi" w:hAnsiTheme="majorHAnsi"/>
                        </w:rPr>
                      </w:pPr>
                      <w:r w:rsidRPr="00D43825">
                        <w:rPr>
                          <w:rFonts w:asciiTheme="majorHAnsi" w:hAnsiTheme="majorHAnsi"/>
                        </w:rPr>
                        <w:t>(Doç.Dr. Yavuz Acar</w:t>
                      </w:r>
                      <w:r w:rsidR="009907AF" w:rsidRPr="00D43825">
                        <w:rPr>
                          <w:rFonts w:asciiTheme="majorHAnsi" w:hAnsiTheme="majorHAnsi"/>
                        </w:rPr>
                        <w:t>)</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rPr>
      </w:pPr>
    </w:p>
    <w:p w:rsidR="009907AF" w:rsidRPr="00D43825" w:rsidRDefault="009907AF" w:rsidP="009907AF">
      <w:pPr>
        <w:pStyle w:val="ListeParagraf"/>
        <w:ind w:left="426"/>
        <w:rPr>
          <w:rFonts w:asciiTheme="majorHAnsi" w:hAnsiTheme="majorHAnsi"/>
        </w:rPr>
      </w:pPr>
      <w:r w:rsidRPr="00D43825">
        <w:rPr>
          <w:rFonts w:asciiTheme="majorHAnsi" w:hAnsiTheme="majorHAnsi"/>
          <w:b/>
          <w:noProof/>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1C0F6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D43825" w:rsidRDefault="00D43825" w:rsidP="00D43825">
                            <w:pPr>
                              <w:jc w:val="center"/>
                              <w:rPr>
                                <w:rFonts w:asciiTheme="majorHAnsi" w:hAnsiTheme="majorHAnsi"/>
                              </w:rPr>
                            </w:pPr>
                            <w:r w:rsidRPr="00D43825">
                              <w:rPr>
                                <w:rFonts w:asciiTheme="majorHAnsi" w:hAnsiTheme="majorHAnsi"/>
                              </w:rPr>
                              <w:t>(Prof. Dr. Gökhan Özertan)</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E0022"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Merkez Müdür Yardımcısı</w:t>
                      </w:r>
                    </w:p>
                    <w:p w:rsidR="00D43825" w:rsidRPr="00D43825" w:rsidRDefault="00D43825" w:rsidP="00D43825">
                      <w:pPr>
                        <w:jc w:val="center"/>
                        <w:rPr>
                          <w:rFonts w:asciiTheme="majorHAnsi" w:hAnsiTheme="majorHAnsi"/>
                        </w:rPr>
                      </w:pPr>
                      <w:r w:rsidRPr="00D43825">
                        <w:rPr>
                          <w:rFonts w:asciiTheme="majorHAnsi" w:hAnsiTheme="majorHAnsi"/>
                        </w:rPr>
                        <w:t>(</w:t>
                      </w:r>
                      <w:r w:rsidRPr="00D43825">
                        <w:rPr>
                          <w:rFonts w:asciiTheme="majorHAnsi" w:hAnsiTheme="majorHAnsi"/>
                        </w:rPr>
                        <w:t>Prof. Dr. Gökhan Özertan)</w:t>
                      </w:r>
                    </w:p>
                    <w:p w:rsidR="009907AF" w:rsidRDefault="009907AF" w:rsidP="009907AF">
                      <w:pPr>
                        <w:jc w:val="center"/>
                      </w:pP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b/>
          <w:noProof/>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72FB1"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r w:rsidRPr="00D43825">
        <w:rPr>
          <w:rFonts w:asciiTheme="majorHAnsi" w:hAnsiTheme="majorHAnsi"/>
          <w:noProof/>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FFB3"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Pr="00D43825" w:rsidRDefault="009907AF" w:rsidP="009907AF">
                      <w:pPr>
                        <w:jc w:val="center"/>
                        <w:rPr>
                          <w:rFonts w:asciiTheme="majorHAnsi" w:hAnsiTheme="majorHAnsi"/>
                        </w:rPr>
                      </w:pPr>
                      <w:r w:rsidRPr="00D43825">
                        <w:rPr>
                          <w:rFonts w:asciiTheme="majorHAnsi" w:hAnsiTheme="majorHAnsi"/>
                        </w:rPr>
                        <w:t>Yönetim Kurulu</w:t>
                      </w:r>
                    </w:p>
                  </w:txbxContent>
                </v:textbox>
              </v:rect>
            </w:pict>
          </mc:Fallback>
        </mc:AlternateContent>
      </w: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9907AF" w:rsidRPr="00D43825" w:rsidRDefault="009907AF" w:rsidP="009907AF">
      <w:pPr>
        <w:pStyle w:val="ListeParagraf"/>
        <w:ind w:left="426"/>
        <w:rPr>
          <w:rFonts w:asciiTheme="majorHAnsi" w:hAnsiTheme="majorHAnsi"/>
          <w:b/>
        </w:rPr>
      </w:pPr>
    </w:p>
    <w:p w:rsidR="00A65901" w:rsidRDefault="00A65901" w:rsidP="009907AF">
      <w:pPr>
        <w:pStyle w:val="ListeParagraf"/>
        <w:ind w:left="426"/>
        <w:rPr>
          <w:rFonts w:ascii="Trebuchet MS" w:hAnsi="Trebuchet MS"/>
          <w:b/>
          <w:sz w:val="20"/>
          <w:szCs w:val="20"/>
        </w:rPr>
      </w:pPr>
    </w:p>
    <w:p w:rsidR="00CA077D" w:rsidRPr="00CA077D" w:rsidRDefault="00CA077D" w:rsidP="00CA077D">
      <w:pPr>
        <w:rPr>
          <w:rFonts w:ascii="Trebuchet MS" w:hAnsi="Trebuchet MS"/>
          <w:b/>
          <w:sz w:val="20"/>
          <w:szCs w:val="20"/>
        </w:rPr>
      </w:pPr>
    </w:p>
    <w:p w:rsid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CA077D">
        <w:rPr>
          <w:rFonts w:ascii="Cambria" w:eastAsia="Calibri" w:hAnsi="Cambria" w:cs="Times New Roman"/>
          <w:b/>
          <w:color w:val="365F91" w:themeColor="accent1" w:themeShade="BF"/>
          <w:sz w:val="28"/>
          <w:szCs w:val="28"/>
          <w:lang w:eastAsia="tr-TR"/>
        </w:rPr>
        <w:t>-MERKEZ PERSONELİNİN MERKEZ AMAÇLARI ÇERÇEVESİNDE KATILMIŞ OLDUĞU TOPLANTILAR</w:t>
      </w:r>
    </w:p>
    <w:p w:rsid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p w:rsidR="00CA077D" w:rsidRPr="00CA077D" w:rsidRDefault="00CA077D" w:rsidP="00CA077D">
      <w:pPr>
        <w:pBdr>
          <w:top w:val="nil"/>
          <w:left w:val="nil"/>
          <w:bottom w:val="nil"/>
          <w:right w:val="nil"/>
          <w:between w:val="nil"/>
        </w:pBdr>
        <w:spacing w:after="0" w:line="300" w:lineRule="exact"/>
        <w:rPr>
          <w:rFonts w:ascii="Cambria" w:eastAsia="Calibri" w:hAnsi="Cambria" w:cs="Times New Roman"/>
          <w:b/>
          <w:color w:val="365F91" w:themeColor="accent1" w:themeShade="BF"/>
          <w:sz w:val="28"/>
          <w:szCs w:val="28"/>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126"/>
        <w:gridCol w:w="2552"/>
        <w:gridCol w:w="2409"/>
      </w:tblGrid>
      <w:tr w:rsidR="00CA077D" w:rsidRPr="00CA077D" w:rsidTr="00CA077D">
        <w:trPr>
          <w:trHeight w:val="807"/>
        </w:trPr>
        <w:tc>
          <w:tcPr>
            <w:tcW w:w="1980" w:type="dxa"/>
            <w:shd w:val="clear" w:color="auto" w:fill="auto"/>
            <w:vAlign w:val="center"/>
          </w:tcPr>
          <w:p w:rsidR="00CA077D" w:rsidRPr="00CA077D" w:rsidRDefault="00CA077D" w:rsidP="00B913B3">
            <w:pPr>
              <w:jc w:val="center"/>
              <w:rPr>
                <w:rFonts w:asciiTheme="majorHAnsi" w:hAnsiTheme="majorHAnsi"/>
                <w:b/>
                <w:bCs/>
                <w:lang w:val="en-US"/>
              </w:rPr>
            </w:pPr>
            <w:r w:rsidRPr="00CA077D">
              <w:rPr>
                <w:rFonts w:asciiTheme="majorHAnsi" w:hAnsiTheme="majorHAnsi"/>
                <w:b/>
                <w:bCs/>
                <w:lang w:val="en-US"/>
              </w:rPr>
              <w:t>Faaliyetin Tarihi (leri)</w:t>
            </w:r>
          </w:p>
        </w:tc>
        <w:tc>
          <w:tcPr>
            <w:tcW w:w="2126" w:type="dxa"/>
            <w:shd w:val="clear" w:color="auto" w:fill="auto"/>
            <w:vAlign w:val="center"/>
          </w:tcPr>
          <w:p w:rsidR="00CA077D" w:rsidRPr="00CA077D" w:rsidRDefault="00CA077D" w:rsidP="00B913B3">
            <w:pPr>
              <w:jc w:val="center"/>
              <w:rPr>
                <w:rFonts w:asciiTheme="majorHAnsi" w:hAnsiTheme="majorHAnsi"/>
                <w:b/>
                <w:bCs/>
                <w:lang w:val="en-US"/>
              </w:rPr>
            </w:pPr>
            <w:r w:rsidRPr="00CA077D">
              <w:rPr>
                <w:rFonts w:asciiTheme="majorHAnsi" w:hAnsiTheme="majorHAnsi"/>
                <w:b/>
                <w:bCs/>
                <w:lang w:val="en-US"/>
              </w:rPr>
              <w:t>Faaliyetin Türü</w:t>
            </w:r>
          </w:p>
        </w:tc>
        <w:tc>
          <w:tcPr>
            <w:tcW w:w="2552" w:type="dxa"/>
            <w:shd w:val="clear" w:color="auto" w:fill="auto"/>
            <w:vAlign w:val="center"/>
          </w:tcPr>
          <w:p w:rsidR="00CA077D" w:rsidRPr="00CA077D" w:rsidRDefault="00CA077D" w:rsidP="00B913B3">
            <w:pPr>
              <w:jc w:val="center"/>
              <w:rPr>
                <w:rFonts w:asciiTheme="majorHAnsi" w:hAnsiTheme="majorHAnsi"/>
                <w:b/>
                <w:bCs/>
                <w:lang w:val="en-US"/>
              </w:rPr>
            </w:pPr>
            <w:r w:rsidRPr="00CA077D">
              <w:rPr>
                <w:rFonts w:asciiTheme="majorHAnsi" w:hAnsiTheme="majorHAnsi"/>
                <w:b/>
                <w:bCs/>
                <w:lang w:val="en-US"/>
              </w:rPr>
              <w:t>Faliyetin Adı</w:t>
            </w:r>
          </w:p>
        </w:tc>
        <w:tc>
          <w:tcPr>
            <w:tcW w:w="2409" w:type="dxa"/>
            <w:shd w:val="clear" w:color="auto" w:fill="auto"/>
            <w:vAlign w:val="center"/>
          </w:tcPr>
          <w:p w:rsidR="00CA077D" w:rsidRPr="00CA077D" w:rsidRDefault="00CA077D" w:rsidP="00B913B3">
            <w:pPr>
              <w:jc w:val="center"/>
              <w:rPr>
                <w:rFonts w:asciiTheme="majorHAnsi" w:hAnsiTheme="majorHAnsi"/>
                <w:b/>
                <w:bCs/>
                <w:lang w:val="en-US"/>
              </w:rPr>
            </w:pPr>
            <w:r w:rsidRPr="00CA077D">
              <w:rPr>
                <w:rFonts w:asciiTheme="majorHAnsi" w:hAnsiTheme="majorHAnsi"/>
                <w:b/>
                <w:bCs/>
                <w:lang w:val="en-US"/>
              </w:rPr>
              <w:t>Faaliyeti Yapan Birimin Adı</w:t>
            </w:r>
          </w:p>
        </w:tc>
      </w:tr>
      <w:tr w:rsidR="00CA077D" w:rsidRPr="00CA077D" w:rsidTr="00CA077D">
        <w:trPr>
          <w:trHeight w:val="411"/>
        </w:trPr>
        <w:tc>
          <w:tcPr>
            <w:tcW w:w="1980" w:type="dxa"/>
            <w:shd w:val="clear" w:color="auto" w:fill="auto"/>
          </w:tcPr>
          <w:p w:rsidR="00CA077D" w:rsidRPr="00CA077D" w:rsidRDefault="00CA077D" w:rsidP="00B913B3">
            <w:pPr>
              <w:jc w:val="both"/>
              <w:rPr>
                <w:rFonts w:asciiTheme="majorHAnsi" w:hAnsiTheme="majorHAnsi"/>
              </w:rPr>
            </w:pPr>
            <w:r w:rsidRPr="00CA077D">
              <w:rPr>
                <w:rFonts w:asciiTheme="majorHAnsi" w:hAnsiTheme="majorHAnsi"/>
              </w:rPr>
              <w:t>15-17.11.2023</w:t>
            </w:r>
          </w:p>
        </w:tc>
        <w:tc>
          <w:tcPr>
            <w:tcW w:w="2126" w:type="dxa"/>
            <w:shd w:val="clear" w:color="auto" w:fill="auto"/>
          </w:tcPr>
          <w:p w:rsidR="00CA077D" w:rsidRPr="00CA077D" w:rsidRDefault="00CA077D" w:rsidP="00B913B3">
            <w:pPr>
              <w:jc w:val="both"/>
              <w:rPr>
                <w:rFonts w:asciiTheme="majorHAnsi" w:hAnsiTheme="majorHAnsi"/>
              </w:rPr>
            </w:pPr>
            <w:r w:rsidRPr="00CA077D">
              <w:rPr>
                <w:rFonts w:asciiTheme="majorHAnsi" w:hAnsiTheme="majorHAnsi"/>
              </w:rPr>
              <w:t>Proje pazarı</w:t>
            </w:r>
          </w:p>
        </w:tc>
        <w:tc>
          <w:tcPr>
            <w:tcW w:w="2552" w:type="dxa"/>
            <w:shd w:val="clear" w:color="auto" w:fill="auto"/>
          </w:tcPr>
          <w:p w:rsidR="00CA077D" w:rsidRPr="00CA077D" w:rsidRDefault="00CA077D" w:rsidP="00CA077D">
            <w:pPr>
              <w:rPr>
                <w:rFonts w:asciiTheme="majorHAnsi" w:hAnsiTheme="majorHAnsi"/>
              </w:rPr>
            </w:pPr>
            <w:r w:rsidRPr="00CA077D">
              <w:rPr>
                <w:rFonts w:asciiTheme="majorHAnsi" w:hAnsiTheme="majorHAnsi"/>
              </w:rPr>
              <w:t>Research &amp; Innovation Transforming European Healthcare</w:t>
            </w:r>
          </w:p>
        </w:tc>
        <w:tc>
          <w:tcPr>
            <w:tcW w:w="2409" w:type="dxa"/>
            <w:shd w:val="clear" w:color="auto" w:fill="auto"/>
          </w:tcPr>
          <w:p w:rsidR="00CA077D" w:rsidRPr="00CA077D" w:rsidRDefault="00CA077D" w:rsidP="00CA077D">
            <w:pPr>
              <w:rPr>
                <w:rFonts w:asciiTheme="majorHAnsi" w:hAnsiTheme="majorHAnsi"/>
                <w:b/>
              </w:rPr>
            </w:pPr>
            <w:r w:rsidRPr="00CA077D">
              <w:rPr>
                <w:rFonts w:asciiTheme="majorHAnsi" w:hAnsiTheme="majorHAnsi"/>
              </w:rPr>
              <w:t>İş Analitiği ve Müşteri İçgörüsü Uygulama ve Araştırma Merkezi</w:t>
            </w:r>
          </w:p>
        </w:tc>
      </w:tr>
    </w:tbl>
    <w:p w:rsidR="00D43825" w:rsidRPr="00CA077D" w:rsidRDefault="00D43825" w:rsidP="00CA077D">
      <w:pPr>
        <w:rPr>
          <w:rFonts w:ascii="Trebuchet MS" w:hAnsi="Trebuchet MS"/>
          <w:b/>
          <w:sz w:val="20"/>
          <w:szCs w:val="20"/>
        </w:rPr>
      </w:pPr>
    </w:p>
    <w:p w:rsidR="00CA077D" w:rsidRPr="00CA077D" w:rsidRDefault="00541D11" w:rsidP="00CA077D">
      <w:pPr>
        <w:spacing w:before="60" w:after="0" w:line="360" w:lineRule="auto"/>
        <w:rPr>
          <w:rFonts w:asciiTheme="majorHAnsi" w:eastAsia="Calibri" w:hAnsiTheme="majorHAnsi" w:cs="Times New Roman"/>
          <w:b/>
          <w:color w:val="365F91" w:themeColor="accent1" w:themeShade="BF"/>
          <w:lang w:eastAsia="tr-TR"/>
        </w:rPr>
      </w:pPr>
      <w:r>
        <w:rPr>
          <w:rFonts w:ascii="Cambria" w:eastAsia="Calibri" w:hAnsi="Cambria" w:cs="Times New Roman"/>
          <w:b/>
          <w:color w:val="365F91" w:themeColor="accent1" w:themeShade="BF"/>
          <w:sz w:val="28"/>
          <w:szCs w:val="28"/>
          <w:lang w:eastAsia="tr-TR"/>
        </w:rPr>
        <w:t>V</w:t>
      </w:r>
      <w:r w:rsidR="00CA077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 xml:space="preserve">- </w:t>
      </w:r>
      <w:r w:rsidR="00A65901" w:rsidRPr="004648BE">
        <w:rPr>
          <w:rFonts w:ascii="Cambria" w:eastAsia="Calibri" w:hAnsi="Cambria" w:cs="Times New Roman"/>
          <w:b/>
          <w:color w:val="365F91" w:themeColor="accent1" w:themeShade="BF"/>
          <w:sz w:val="28"/>
          <w:szCs w:val="28"/>
          <w:lang w:eastAsia="tr-TR"/>
        </w:rPr>
        <w:t>MERKEZ</w:t>
      </w:r>
      <w:r w:rsidR="00A65901" w:rsidRPr="00A65901">
        <w:rPr>
          <w:rFonts w:asciiTheme="majorHAnsi" w:eastAsia="Calibri" w:hAnsiTheme="majorHAnsi" w:cs="Times New Roman"/>
          <w:b/>
          <w:color w:val="365F91" w:themeColor="accent1" w:themeShade="BF"/>
          <w:lang w:eastAsia="tr-TR"/>
        </w:rPr>
        <w:t xml:space="preserve"> </w:t>
      </w:r>
      <w:r w:rsidR="00A65901" w:rsidRPr="004648BE">
        <w:rPr>
          <w:rFonts w:asciiTheme="majorHAnsi" w:eastAsia="Calibri" w:hAnsiTheme="majorHAnsi" w:cs="Times New Roman"/>
          <w:b/>
          <w:color w:val="365F91" w:themeColor="accent1" w:themeShade="BF"/>
          <w:sz w:val="28"/>
          <w:lang w:eastAsia="tr-TR"/>
        </w:rPr>
        <w:t>AĞIRLIKLI, MERKEZİN KATKISIYLA YAPILAN ÇALIŞMALARA DAYANDIRILARAK YAYINLANAN BİLİMSEL YAYINLAR</w:t>
      </w:r>
    </w:p>
    <w:p w:rsidR="00CA077D" w:rsidRPr="00CA077D" w:rsidRDefault="00CA077D" w:rsidP="00CA077D">
      <w:pPr>
        <w:spacing w:after="0" w:line="300" w:lineRule="exact"/>
        <w:contextualSpacing/>
        <w:rPr>
          <w:rFonts w:ascii="Cambria" w:eastAsia="Calibri" w:hAnsi="Cambria" w:cs="Times New Roman"/>
          <w:b/>
          <w:color w:val="365F91" w:themeColor="accent1" w:themeShade="BF"/>
          <w:sz w:val="24"/>
          <w:szCs w:val="28"/>
          <w:lang w:eastAsia="tr-TR"/>
        </w:rPr>
      </w:pPr>
      <w:r w:rsidRPr="00CA077D">
        <w:rPr>
          <w:rFonts w:ascii="Cambria" w:eastAsia="Calibri" w:hAnsi="Cambria" w:cs="Times New Roman"/>
          <w:b/>
          <w:color w:val="365F91" w:themeColor="accent1" w:themeShade="BF"/>
          <w:sz w:val="24"/>
          <w:szCs w:val="28"/>
          <w:lang w:eastAsia="tr-TR"/>
        </w:rPr>
        <w:t>Kitap Bölümü</w:t>
      </w:r>
    </w:p>
    <w:p w:rsidR="00CA077D" w:rsidRDefault="00CA077D" w:rsidP="00A65901">
      <w:pPr>
        <w:spacing w:after="0" w:line="300" w:lineRule="exact"/>
        <w:jc w:val="both"/>
        <w:rPr>
          <w:rFonts w:ascii="Cambria" w:eastAsia="Calibri" w:hAnsi="Cambria" w:cs="Times New Roman"/>
          <w:b/>
          <w:color w:val="365F91" w:themeColor="accent1" w:themeShade="BF"/>
          <w:sz w:val="24"/>
          <w:szCs w:val="28"/>
          <w:lang w:eastAsia="tr-TR"/>
        </w:rPr>
      </w:pPr>
    </w:p>
    <w:p w:rsidR="00CA077D" w:rsidRPr="00CA077D" w:rsidRDefault="00A81C67" w:rsidP="00CA077D">
      <w:pPr>
        <w:spacing w:after="0" w:line="300" w:lineRule="exact"/>
        <w:jc w:val="both"/>
        <w:rPr>
          <w:rFonts w:asciiTheme="majorHAnsi" w:eastAsia="Calibri" w:hAnsiTheme="majorHAnsi" w:cs="Times New Roman"/>
          <w:b/>
          <w:color w:val="365F91" w:themeColor="accent1" w:themeShade="BF"/>
          <w:lang w:eastAsia="tr-TR"/>
        </w:rPr>
      </w:pPr>
      <w:r>
        <w:rPr>
          <w:rFonts w:asciiTheme="majorHAnsi" w:hAnsiTheme="majorHAnsi"/>
          <w:color w:val="000000"/>
        </w:rPr>
        <w:t>Acar, Y</w:t>
      </w:r>
      <w:proofErr w:type="gramStart"/>
      <w:r>
        <w:rPr>
          <w:rFonts w:asciiTheme="majorHAnsi" w:hAnsiTheme="majorHAnsi"/>
          <w:color w:val="000000"/>
        </w:rPr>
        <w:t>.</w:t>
      </w:r>
      <w:proofErr w:type="gramEnd"/>
      <w:r>
        <w:rPr>
          <w:rFonts w:asciiTheme="majorHAnsi" w:hAnsiTheme="majorHAnsi"/>
          <w:color w:val="000000"/>
        </w:rPr>
        <w:t xml:space="preserve">, </w:t>
      </w:r>
      <w:bookmarkStart w:id="0" w:name="_GoBack"/>
      <w:bookmarkEnd w:id="0"/>
      <w:r w:rsidR="00CA077D" w:rsidRPr="00CA077D">
        <w:rPr>
          <w:rFonts w:asciiTheme="majorHAnsi" w:hAnsiTheme="majorHAnsi"/>
          <w:color w:val="000000"/>
        </w:rPr>
        <w:t>Cetin, O., Rodopman, O. B., Minga, R., &amp; Doguer, H. (2023). Forecasting Demand for Hospital Services: A Managerial Perspective. In Handbook of Research on Quality and Competitiveness in the Healthcare Services Sector (pp. 248-263). IGI Global</w:t>
      </w:r>
    </w:p>
    <w:p w:rsidR="00CA077D" w:rsidRDefault="00CA077D" w:rsidP="00A65901">
      <w:pPr>
        <w:spacing w:after="0" w:line="300" w:lineRule="exact"/>
        <w:jc w:val="both"/>
        <w:rPr>
          <w:rFonts w:ascii="Cambria" w:eastAsia="Calibri" w:hAnsi="Cambria" w:cs="Times New Roman"/>
          <w:b/>
          <w:color w:val="365F91" w:themeColor="accent1" w:themeShade="BF"/>
          <w:sz w:val="24"/>
          <w:szCs w:val="28"/>
          <w:lang w:eastAsia="tr-TR"/>
        </w:rPr>
      </w:pPr>
    </w:p>
    <w:p w:rsidR="00CA077D" w:rsidRDefault="00CA077D" w:rsidP="00A65901">
      <w:pPr>
        <w:spacing w:after="0" w:line="300" w:lineRule="exact"/>
        <w:jc w:val="both"/>
        <w:rPr>
          <w:rFonts w:ascii="Cambria" w:eastAsia="Calibri" w:hAnsi="Cambria" w:cs="Times New Roman"/>
          <w:b/>
          <w:color w:val="365F91" w:themeColor="accent1" w:themeShade="BF"/>
          <w:sz w:val="24"/>
          <w:szCs w:val="28"/>
          <w:lang w:eastAsia="tr-TR"/>
        </w:rPr>
      </w:pPr>
    </w:p>
    <w:p w:rsidR="00CA077D" w:rsidRDefault="00CA077D" w:rsidP="00A65901">
      <w:pPr>
        <w:spacing w:after="0" w:line="300" w:lineRule="exact"/>
        <w:jc w:val="both"/>
        <w:rPr>
          <w:rFonts w:ascii="Cambria" w:eastAsia="Calibri" w:hAnsi="Cambria" w:cs="Times New Roman"/>
          <w:b/>
          <w:color w:val="365F91" w:themeColor="accent1" w:themeShade="BF"/>
          <w:sz w:val="24"/>
          <w:szCs w:val="28"/>
          <w:lang w:eastAsia="tr-TR"/>
        </w:rPr>
      </w:pPr>
    </w:p>
    <w:p w:rsidR="00A65901" w:rsidRPr="001B51C3" w:rsidRDefault="00A65901" w:rsidP="00A65901">
      <w:pPr>
        <w:spacing w:after="0" w:line="300" w:lineRule="exact"/>
        <w:jc w:val="both"/>
        <w:rPr>
          <w:rFonts w:asciiTheme="majorHAnsi" w:eastAsia="Times New Roman" w:hAnsiTheme="majorHAnsi" w:cs="Calibri"/>
          <w:sz w:val="20"/>
          <w:lang w:eastAsia="zh-CN"/>
        </w:rPr>
      </w:pPr>
      <w:r w:rsidRPr="001B51C3">
        <w:rPr>
          <w:rFonts w:ascii="Cambria" w:eastAsia="Calibri" w:hAnsi="Cambria" w:cs="Times New Roman"/>
          <w:b/>
          <w:color w:val="365F91" w:themeColor="accent1" w:themeShade="BF"/>
          <w:sz w:val="24"/>
          <w:szCs w:val="28"/>
          <w:lang w:eastAsia="tr-TR"/>
        </w:rPr>
        <w:lastRenderedPageBreak/>
        <w:t>Makale</w:t>
      </w:r>
    </w:p>
    <w:p w:rsidR="00CA077D" w:rsidRDefault="00CA077D" w:rsidP="00A65901">
      <w:pPr>
        <w:spacing w:after="0" w:line="300" w:lineRule="exact"/>
        <w:jc w:val="both"/>
        <w:rPr>
          <w:rFonts w:asciiTheme="majorHAnsi" w:eastAsia="Times New Roman" w:hAnsiTheme="majorHAnsi" w:cs="Arial"/>
          <w:color w:val="222222"/>
          <w:shd w:val="clear" w:color="auto" w:fill="FFFFFF"/>
          <w:lang w:eastAsia="zh-CN"/>
        </w:rPr>
      </w:pP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r w:rsidRPr="00CA077D">
        <w:rPr>
          <w:rFonts w:asciiTheme="majorHAnsi" w:eastAsia="Times New Roman" w:hAnsiTheme="majorHAnsi" w:cs="Arial"/>
          <w:color w:val="222222"/>
          <w:shd w:val="clear" w:color="auto" w:fill="FFFFFF"/>
          <w:lang w:eastAsia="zh-CN"/>
        </w:rPr>
        <w:t>O. Sayınbaş, A. Köse, M. Koca and E. Anarim, "A Novel Scheduling Strategy in Priority-Aware IoT Networks for Age of Information Optimization," in IEEE Communications Letters, doi: 10.1109/LCOMM.2023.3340863.</w:t>
      </w: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r w:rsidRPr="00CA077D">
        <w:rPr>
          <w:rFonts w:asciiTheme="majorHAnsi" w:eastAsia="Times New Roman" w:hAnsiTheme="majorHAnsi" w:cs="Arial"/>
          <w:color w:val="222222"/>
          <w:shd w:val="clear" w:color="auto" w:fill="FFFFFF"/>
          <w:lang w:eastAsia="zh-CN"/>
        </w:rPr>
        <w:t>R. Fuladi, T. Baykas and E. Anarim, "The Use of Statistical Features for Low-Rate Denial of Service Attack Detection," 2023 2nd International Conference on 6G Networking (6GNet), Paris, France, 2023, pp. 1-6, doi: 10.1109/6GNet58894.2023.10317727.</w:t>
      </w: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r w:rsidRPr="00CA077D">
        <w:rPr>
          <w:rFonts w:asciiTheme="majorHAnsi" w:eastAsia="Times New Roman" w:hAnsiTheme="majorHAnsi" w:cs="Arial"/>
          <w:color w:val="222222"/>
          <w:shd w:val="clear" w:color="auto" w:fill="FFFFFF"/>
          <w:lang w:eastAsia="zh-CN"/>
        </w:rPr>
        <w:t>İ. Kahraman, A. Köse, M. Koca and E. Anarım, "Age of Information in Internet of Things: A Survey," in IEEE Internet of Things Journal, doi: 10.1109/JIOT.2023.3324879.</w:t>
      </w: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r w:rsidRPr="00CA077D">
        <w:rPr>
          <w:rFonts w:asciiTheme="majorHAnsi" w:eastAsia="Times New Roman" w:hAnsiTheme="majorHAnsi" w:cs="Arial"/>
          <w:color w:val="222222"/>
          <w:shd w:val="clear" w:color="auto" w:fill="FFFFFF"/>
          <w:lang w:eastAsia="zh-CN"/>
        </w:rPr>
        <w:t>A. Köse, M. Koca and E. Anarim, "Impact of Network Coding on Age of Information," in IEEE Internet of Things Journal, doi: 10.1109/JIOT.2023.3323882.</w:t>
      </w: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r w:rsidRPr="00CA077D">
        <w:rPr>
          <w:rFonts w:asciiTheme="majorHAnsi" w:eastAsia="Times New Roman" w:hAnsiTheme="majorHAnsi" w:cs="Arial"/>
          <w:color w:val="222222"/>
          <w:shd w:val="clear" w:color="auto" w:fill="FFFFFF"/>
          <w:lang w:eastAsia="zh-CN"/>
        </w:rPr>
        <w:t>E. Davarci and E. Anarim, "Gender Detection Based on Gait Data: A Deep Learning Approach With Synthetic Data Generation and Continuous Wavelet Transform," in IEEE Access, vol. 11, pp. 108833-108851, 2023, doi: 10.1109/ACCESS.2023.3321427.</w:t>
      </w:r>
    </w:p>
    <w:p w:rsidR="00CA077D" w:rsidRPr="00CA077D" w:rsidRDefault="00CA077D" w:rsidP="00CA077D">
      <w:pPr>
        <w:spacing w:after="0" w:line="300" w:lineRule="exact"/>
        <w:jc w:val="both"/>
        <w:rPr>
          <w:rFonts w:asciiTheme="majorHAnsi" w:eastAsia="Times New Roman" w:hAnsiTheme="majorHAnsi" w:cs="Arial"/>
          <w:color w:val="222222"/>
          <w:shd w:val="clear" w:color="auto" w:fill="FFFFFF"/>
          <w:lang w:eastAsia="zh-CN"/>
        </w:rPr>
      </w:pPr>
    </w:p>
    <w:p w:rsidR="00755E62" w:rsidRPr="009907AF" w:rsidRDefault="00755E62" w:rsidP="009907AF">
      <w:pPr>
        <w:spacing w:after="0" w:line="300" w:lineRule="exact"/>
        <w:rPr>
          <w:rFonts w:asciiTheme="majorHAnsi" w:eastAsia="Calibri" w:hAnsiTheme="majorHAnsi" w:cs="InterstateLight"/>
          <w:lang w:val="de-DE"/>
        </w:rPr>
      </w:pPr>
    </w:p>
    <w:p w:rsidR="00A16C6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541D11">
        <w:rPr>
          <w:rFonts w:ascii="Cambria" w:eastAsia="Calibri" w:hAnsi="Cambria" w:cs="Times New Roman"/>
          <w:b/>
          <w:color w:val="365F91" w:themeColor="accent1" w:themeShade="BF"/>
          <w:sz w:val="28"/>
          <w:szCs w:val="28"/>
          <w:lang w:eastAsia="tr-TR"/>
        </w:rPr>
        <w:t>I</w:t>
      </w:r>
      <w:r w:rsidR="00CA077D">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CA077D" w:rsidRPr="004E22D3" w:rsidRDefault="00CA077D"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Style w:val="TabloKlavuzu"/>
        <w:tblW w:w="9810" w:type="dxa"/>
        <w:tblInd w:w="108" w:type="dxa"/>
        <w:tblLayout w:type="fixed"/>
        <w:tblLook w:val="04A0" w:firstRow="1" w:lastRow="0" w:firstColumn="1" w:lastColumn="0" w:noHBand="0" w:noVBand="1"/>
      </w:tblPr>
      <w:tblGrid>
        <w:gridCol w:w="3006"/>
        <w:gridCol w:w="1559"/>
        <w:gridCol w:w="1559"/>
        <w:gridCol w:w="1276"/>
        <w:gridCol w:w="2410"/>
      </w:tblGrid>
      <w:tr w:rsidR="004B084C" w:rsidRPr="00CA077D" w:rsidTr="004B084C">
        <w:trPr>
          <w:trHeight w:val="708"/>
        </w:trPr>
        <w:tc>
          <w:tcPr>
            <w:tcW w:w="3006" w:type="dxa"/>
            <w:vAlign w:val="center"/>
          </w:tcPr>
          <w:p w:rsidR="00CA077D" w:rsidRPr="00CA077D" w:rsidRDefault="00CA077D" w:rsidP="00B913B3">
            <w:pPr>
              <w:rPr>
                <w:rFonts w:asciiTheme="majorHAnsi" w:hAnsiTheme="majorHAnsi"/>
                <w:lang w:eastAsia="ko-KR"/>
              </w:rPr>
            </w:pPr>
            <w:r w:rsidRPr="00CA077D">
              <w:rPr>
                <w:rFonts w:asciiTheme="majorHAnsi" w:hAnsiTheme="majorHAnsi"/>
                <w:b/>
                <w:bCs/>
              </w:rPr>
              <w:t>Adı</w:t>
            </w:r>
          </w:p>
        </w:tc>
        <w:tc>
          <w:tcPr>
            <w:tcW w:w="1559" w:type="dxa"/>
            <w:vAlign w:val="center"/>
          </w:tcPr>
          <w:p w:rsidR="00CA077D" w:rsidRPr="00CA077D" w:rsidRDefault="00CA077D" w:rsidP="00B913B3">
            <w:pPr>
              <w:rPr>
                <w:rFonts w:asciiTheme="majorHAnsi" w:hAnsiTheme="majorHAnsi"/>
                <w:lang w:eastAsia="ko-KR"/>
              </w:rPr>
            </w:pPr>
            <w:r w:rsidRPr="00CA077D">
              <w:rPr>
                <w:rFonts w:asciiTheme="majorHAnsi" w:hAnsiTheme="majorHAnsi"/>
                <w:b/>
                <w:bCs/>
              </w:rPr>
              <w:t>Yürütücü-Ortak Yürütücü</w:t>
            </w:r>
          </w:p>
        </w:tc>
        <w:tc>
          <w:tcPr>
            <w:tcW w:w="1559" w:type="dxa"/>
            <w:vAlign w:val="center"/>
          </w:tcPr>
          <w:p w:rsidR="004B084C" w:rsidRDefault="00CA077D" w:rsidP="00B913B3">
            <w:pPr>
              <w:rPr>
                <w:rFonts w:asciiTheme="majorHAnsi" w:hAnsiTheme="majorHAnsi"/>
                <w:b/>
                <w:bCs/>
              </w:rPr>
            </w:pPr>
            <w:r w:rsidRPr="00CA077D">
              <w:rPr>
                <w:rFonts w:asciiTheme="majorHAnsi" w:hAnsiTheme="majorHAnsi"/>
                <w:b/>
                <w:bCs/>
              </w:rPr>
              <w:t>Destekleyen Kurum/</w:t>
            </w:r>
          </w:p>
          <w:p w:rsidR="00CA077D" w:rsidRPr="00CA077D" w:rsidRDefault="00CA077D" w:rsidP="00B913B3">
            <w:pPr>
              <w:rPr>
                <w:rFonts w:asciiTheme="majorHAnsi" w:hAnsiTheme="majorHAnsi"/>
                <w:lang w:eastAsia="ko-KR"/>
              </w:rPr>
            </w:pPr>
            <w:r w:rsidRPr="00CA077D">
              <w:rPr>
                <w:rFonts w:asciiTheme="majorHAnsi" w:hAnsiTheme="majorHAnsi"/>
                <w:b/>
                <w:bCs/>
              </w:rPr>
              <w:t>Kuruluş</w:t>
            </w:r>
          </w:p>
        </w:tc>
        <w:tc>
          <w:tcPr>
            <w:tcW w:w="1276" w:type="dxa"/>
            <w:vAlign w:val="center"/>
          </w:tcPr>
          <w:p w:rsidR="00CA077D" w:rsidRPr="00CA077D" w:rsidRDefault="00CA077D" w:rsidP="004B084C">
            <w:pPr>
              <w:jc w:val="both"/>
              <w:rPr>
                <w:rFonts w:asciiTheme="majorHAnsi" w:hAnsiTheme="majorHAnsi"/>
                <w:lang w:eastAsia="ko-KR"/>
              </w:rPr>
            </w:pPr>
            <w:r w:rsidRPr="00CA077D">
              <w:rPr>
                <w:rFonts w:asciiTheme="majorHAnsi" w:hAnsiTheme="majorHAnsi"/>
                <w:b/>
                <w:bCs/>
              </w:rPr>
              <w:t>Başlangıç Tarihi</w:t>
            </w:r>
          </w:p>
        </w:tc>
        <w:tc>
          <w:tcPr>
            <w:tcW w:w="2410" w:type="dxa"/>
            <w:vAlign w:val="center"/>
          </w:tcPr>
          <w:p w:rsidR="00CA077D" w:rsidRPr="00CA077D" w:rsidRDefault="00CA077D" w:rsidP="00B913B3">
            <w:pPr>
              <w:rPr>
                <w:rFonts w:asciiTheme="majorHAnsi" w:hAnsiTheme="majorHAnsi"/>
                <w:lang w:eastAsia="ko-KR"/>
              </w:rPr>
            </w:pPr>
            <w:r w:rsidRPr="00CA077D">
              <w:rPr>
                <w:rFonts w:asciiTheme="majorHAnsi" w:hAnsiTheme="majorHAnsi"/>
                <w:b/>
                <w:bCs/>
              </w:rPr>
              <w:t>Durumu</w:t>
            </w:r>
          </w:p>
        </w:tc>
      </w:tr>
      <w:tr w:rsidR="004B084C" w:rsidRPr="00CA077D" w:rsidTr="004B084C">
        <w:trPr>
          <w:trHeight w:val="246"/>
        </w:trPr>
        <w:tc>
          <w:tcPr>
            <w:tcW w:w="3006" w:type="dxa"/>
            <w:shd w:val="clear" w:color="auto" w:fill="FFFFFF" w:themeFill="background1"/>
          </w:tcPr>
          <w:p w:rsidR="00CA077D" w:rsidRPr="00CA077D" w:rsidRDefault="00CA077D" w:rsidP="00B913B3">
            <w:pPr>
              <w:rPr>
                <w:rFonts w:asciiTheme="majorHAnsi" w:hAnsiTheme="majorHAnsi" w:cstheme="minorHAnsi"/>
              </w:rPr>
            </w:pPr>
            <w:r w:rsidRPr="00CA077D">
              <w:rPr>
                <w:rFonts w:asciiTheme="majorHAnsi" w:hAnsiTheme="majorHAnsi" w:cstheme="minorHAnsi"/>
              </w:rPr>
              <w:t xml:space="preserve"> Jeo-Uzamsal Analitik Uygulamaları - Trafo Lokasyon ve Kapasite Optimizasyonu</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Ortak yürütücü</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TUBİTAK-1711</w:t>
            </w:r>
          </w:p>
        </w:tc>
        <w:tc>
          <w:tcPr>
            <w:tcW w:w="127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01.01.24</w:t>
            </w:r>
          </w:p>
        </w:tc>
        <w:tc>
          <w:tcPr>
            <w:tcW w:w="2410"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Kabul edildi</w:t>
            </w:r>
          </w:p>
        </w:tc>
      </w:tr>
      <w:tr w:rsidR="004B084C" w:rsidRPr="00CA077D" w:rsidTr="004B084C">
        <w:trPr>
          <w:trHeight w:val="246"/>
        </w:trPr>
        <w:tc>
          <w:tcPr>
            <w:tcW w:w="3006" w:type="dxa"/>
            <w:shd w:val="clear" w:color="auto" w:fill="FFFFFF" w:themeFill="background1"/>
          </w:tcPr>
          <w:p w:rsidR="00CA077D" w:rsidRPr="00CA077D" w:rsidRDefault="00CA077D" w:rsidP="00B913B3">
            <w:pPr>
              <w:rPr>
                <w:rFonts w:asciiTheme="majorHAnsi" w:hAnsiTheme="majorHAnsi" w:cstheme="minorHAnsi"/>
              </w:rPr>
            </w:pPr>
            <w:r w:rsidRPr="00CA077D">
              <w:rPr>
                <w:rFonts w:asciiTheme="majorHAnsi" w:hAnsiTheme="majorHAnsi" w:cstheme="minorHAnsi"/>
              </w:rPr>
              <w:t>Yapay Zekâ Destekli Meslek Ve Beceri Sınıflandırma Projesi</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Ortak yürütücü</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TUBİTAK-1007</w:t>
            </w:r>
          </w:p>
        </w:tc>
        <w:tc>
          <w:tcPr>
            <w:tcW w:w="127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01.04.24</w:t>
            </w:r>
          </w:p>
        </w:tc>
        <w:tc>
          <w:tcPr>
            <w:tcW w:w="2410"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Başvuru değerlendirme aşamasında</w:t>
            </w:r>
          </w:p>
        </w:tc>
      </w:tr>
      <w:tr w:rsidR="004B084C" w:rsidRPr="00CA077D" w:rsidTr="004B084C">
        <w:trPr>
          <w:trHeight w:val="246"/>
        </w:trPr>
        <w:tc>
          <w:tcPr>
            <w:tcW w:w="300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Twinning for excellence in the application of unbiased Artificial Intelligence for the investigation, diagnosis, and treatment of neurodegenerative diseases (ENLIGHT-AI)</w:t>
            </w:r>
          </w:p>
        </w:tc>
        <w:tc>
          <w:tcPr>
            <w:tcW w:w="1559" w:type="dxa"/>
            <w:shd w:val="clear" w:color="auto" w:fill="FFFFFF" w:themeFill="background1"/>
          </w:tcPr>
          <w:p w:rsidR="00CA077D" w:rsidRDefault="00CA077D" w:rsidP="00B913B3">
            <w:pPr>
              <w:rPr>
                <w:rFonts w:asciiTheme="majorHAnsi" w:hAnsiTheme="majorHAnsi" w:cstheme="minorHAnsi"/>
                <w:bCs/>
              </w:rPr>
            </w:pPr>
            <w:r>
              <w:rPr>
                <w:rFonts w:asciiTheme="majorHAnsi" w:hAnsiTheme="majorHAnsi" w:cstheme="minorHAnsi"/>
                <w:bCs/>
              </w:rPr>
              <w:t>Yürütücü</w:t>
            </w:r>
          </w:p>
          <w:p w:rsidR="00CA077D" w:rsidRPr="00CA077D" w:rsidRDefault="00CA077D" w:rsidP="00B913B3">
            <w:pPr>
              <w:rPr>
                <w:rFonts w:asciiTheme="majorHAnsi" w:hAnsiTheme="majorHAnsi" w:cstheme="minorHAnsi"/>
                <w:bCs/>
              </w:rPr>
            </w:pPr>
            <w:r w:rsidRPr="00CA077D">
              <w:rPr>
                <w:rFonts w:asciiTheme="majorHAnsi" w:hAnsiTheme="majorHAnsi" w:cstheme="minorHAnsi"/>
                <w:bCs/>
              </w:rPr>
              <w:t>(Koordinatör)</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AB Komisyonu</w:t>
            </w:r>
          </w:p>
        </w:tc>
        <w:tc>
          <w:tcPr>
            <w:tcW w:w="127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Tahmini Başlangıç Tarihi: Eylül 2024</w:t>
            </w:r>
          </w:p>
        </w:tc>
        <w:tc>
          <w:tcPr>
            <w:tcW w:w="2410"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Başvuru değerlendirme aşamasında</w:t>
            </w:r>
          </w:p>
        </w:tc>
      </w:tr>
      <w:tr w:rsidR="004B084C" w:rsidRPr="00CA077D" w:rsidTr="004B084C">
        <w:trPr>
          <w:trHeight w:val="262"/>
        </w:trPr>
        <w:tc>
          <w:tcPr>
            <w:tcW w:w="300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INclusive TECHnologies and GRAssroots DEvelopment for Gender Equity in Digital Health (INTEGRADE)</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Yürütücü (Koordinatör)</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AB Komisyonu</w:t>
            </w:r>
          </w:p>
        </w:tc>
        <w:tc>
          <w:tcPr>
            <w:tcW w:w="127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 xml:space="preserve">Tahmini başlangıç tarihi: Mart 2025 </w:t>
            </w:r>
          </w:p>
        </w:tc>
        <w:tc>
          <w:tcPr>
            <w:tcW w:w="2410"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Başvuru aşamasında</w:t>
            </w:r>
          </w:p>
        </w:tc>
      </w:tr>
      <w:tr w:rsidR="004B084C" w:rsidRPr="00CA077D" w:rsidTr="004B084C">
        <w:trPr>
          <w:trHeight w:val="246"/>
        </w:trPr>
        <w:tc>
          <w:tcPr>
            <w:tcW w:w="300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The Digital Health Innovation Hub for Healthy Living and Aging – DIGI4AGE</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Yürütücü (Koordinatör)</w:t>
            </w:r>
          </w:p>
        </w:tc>
        <w:tc>
          <w:tcPr>
            <w:tcW w:w="1559"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AB Komisyonu</w:t>
            </w:r>
          </w:p>
        </w:tc>
        <w:tc>
          <w:tcPr>
            <w:tcW w:w="1276"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Tahmini Başlangıç Tarihi: Ocak 2025</w:t>
            </w:r>
          </w:p>
        </w:tc>
        <w:tc>
          <w:tcPr>
            <w:tcW w:w="2410" w:type="dxa"/>
            <w:shd w:val="clear" w:color="auto" w:fill="FFFFFF" w:themeFill="background1"/>
          </w:tcPr>
          <w:p w:rsidR="00CA077D" w:rsidRPr="00CA077D" w:rsidRDefault="00CA077D" w:rsidP="00B913B3">
            <w:pPr>
              <w:rPr>
                <w:rFonts w:asciiTheme="majorHAnsi" w:hAnsiTheme="majorHAnsi" w:cstheme="minorHAnsi"/>
                <w:bCs/>
              </w:rPr>
            </w:pPr>
            <w:r w:rsidRPr="00CA077D">
              <w:rPr>
                <w:rFonts w:asciiTheme="majorHAnsi" w:hAnsiTheme="majorHAnsi" w:cstheme="minorHAnsi"/>
                <w:bCs/>
              </w:rPr>
              <w:t>Ulusal seçim süreci başarı ile sonuçlandı, ikinci aşama hazırlıkları sürüyor.</w:t>
            </w:r>
          </w:p>
        </w:tc>
      </w:tr>
    </w:tbl>
    <w:p w:rsidR="0092619E" w:rsidRDefault="0092619E"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541D11">
        <w:rPr>
          <w:rFonts w:ascii="Cambria" w:eastAsia="Calibri" w:hAnsi="Cambria" w:cs="Times New Roman"/>
          <w:b/>
          <w:color w:val="365F91" w:themeColor="accent1" w:themeShade="BF"/>
          <w:sz w:val="28"/>
          <w:szCs w:val="28"/>
          <w:lang w:eastAsia="tr-TR"/>
        </w:rPr>
        <w:t>I</w:t>
      </w:r>
      <w:r w:rsidR="000D64BD">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0D64BD">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0D64BD" w:rsidRDefault="000D64BD" w:rsidP="00EB6E35">
      <w:pPr>
        <w:spacing w:after="0" w:line="300" w:lineRule="exact"/>
        <w:rPr>
          <w:rFonts w:asciiTheme="majorHAnsi" w:eastAsia="Calibri" w:hAnsiTheme="majorHAnsi" w:cs="InterstateLight"/>
          <w:b/>
          <w:lang w:val="de-DE"/>
        </w:rPr>
      </w:pPr>
    </w:p>
    <w:p w:rsidR="00F50C5B" w:rsidRDefault="00F50C5B" w:rsidP="00EB6E35">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EB6E35" w:rsidRDefault="00EB6E35" w:rsidP="00EB6E35">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985"/>
      </w:tblGrid>
      <w:tr w:rsidR="000D64BD" w:rsidRPr="000D64BD" w:rsidTr="000D64BD">
        <w:trPr>
          <w:trHeight w:val="567"/>
        </w:trPr>
        <w:tc>
          <w:tcPr>
            <w:tcW w:w="3998" w:type="dxa"/>
            <w:vAlign w:val="center"/>
          </w:tcPr>
          <w:p w:rsidR="000D64BD" w:rsidRPr="000D64BD" w:rsidRDefault="000D64BD" w:rsidP="00B913B3">
            <w:pPr>
              <w:tabs>
                <w:tab w:val="left" w:pos="2520"/>
                <w:tab w:val="left" w:pos="5400"/>
              </w:tabs>
              <w:spacing w:line="240" w:lineRule="exact"/>
              <w:rPr>
                <w:rFonts w:asciiTheme="majorHAnsi" w:hAnsiTheme="majorHAnsi"/>
                <w:b/>
              </w:rPr>
            </w:pPr>
            <w:r w:rsidRPr="000D64BD">
              <w:rPr>
                <w:rFonts w:asciiTheme="majorHAnsi" w:hAnsiTheme="majorHAnsi"/>
                <w:b/>
              </w:rPr>
              <w:t>Kriterler</w:t>
            </w:r>
          </w:p>
        </w:tc>
        <w:tc>
          <w:tcPr>
            <w:tcW w:w="1985" w:type="dxa"/>
            <w:vAlign w:val="center"/>
          </w:tcPr>
          <w:p w:rsidR="000D64BD" w:rsidRPr="000D64BD" w:rsidRDefault="000D64BD" w:rsidP="00B913B3">
            <w:pPr>
              <w:tabs>
                <w:tab w:val="left" w:pos="2520"/>
                <w:tab w:val="left" w:pos="5400"/>
              </w:tabs>
              <w:spacing w:line="240" w:lineRule="exact"/>
              <w:rPr>
                <w:rFonts w:asciiTheme="majorHAnsi" w:hAnsiTheme="majorHAnsi"/>
                <w:b/>
              </w:rPr>
            </w:pPr>
            <w:r w:rsidRPr="000D64BD">
              <w:rPr>
                <w:rFonts w:asciiTheme="majorHAnsi" w:hAnsiTheme="majorHAnsi"/>
                <w:b/>
              </w:rPr>
              <w:t>Sayısal Hedef</w:t>
            </w:r>
          </w:p>
        </w:tc>
      </w:tr>
      <w:tr w:rsidR="000D64BD" w:rsidRPr="000D64BD" w:rsidTr="000D64BD">
        <w:trPr>
          <w:trHeight w:val="283"/>
        </w:trPr>
        <w:tc>
          <w:tcPr>
            <w:tcW w:w="3998"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Tubitak, Horizon, Erasmus Proje başvuru sayısı</w:t>
            </w:r>
          </w:p>
        </w:tc>
        <w:tc>
          <w:tcPr>
            <w:tcW w:w="1985"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8</w:t>
            </w:r>
          </w:p>
        </w:tc>
      </w:tr>
      <w:tr w:rsidR="000D64BD" w:rsidRPr="000D64BD" w:rsidTr="000D64BD">
        <w:trPr>
          <w:trHeight w:val="283"/>
        </w:trPr>
        <w:tc>
          <w:tcPr>
            <w:tcW w:w="3998"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Kabul edilen proje sayısı</w:t>
            </w:r>
          </w:p>
        </w:tc>
        <w:tc>
          <w:tcPr>
            <w:tcW w:w="1985"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3</w:t>
            </w:r>
          </w:p>
        </w:tc>
      </w:tr>
      <w:tr w:rsidR="000D64BD" w:rsidRPr="000D64BD" w:rsidTr="000D64BD">
        <w:trPr>
          <w:trHeight w:val="283"/>
        </w:trPr>
        <w:tc>
          <w:tcPr>
            <w:tcW w:w="3998"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Merkez çalışan sayısı</w:t>
            </w:r>
          </w:p>
        </w:tc>
        <w:tc>
          <w:tcPr>
            <w:tcW w:w="1985" w:type="dxa"/>
          </w:tcPr>
          <w:p w:rsidR="000D64BD" w:rsidRPr="000D64BD" w:rsidRDefault="000D64BD" w:rsidP="00B913B3">
            <w:pPr>
              <w:tabs>
                <w:tab w:val="left" w:pos="2520"/>
                <w:tab w:val="left" w:pos="5400"/>
              </w:tabs>
              <w:spacing w:line="240" w:lineRule="exact"/>
              <w:rPr>
                <w:rFonts w:asciiTheme="majorHAnsi" w:hAnsiTheme="majorHAnsi"/>
              </w:rPr>
            </w:pPr>
            <w:r w:rsidRPr="000D64BD">
              <w:rPr>
                <w:rFonts w:asciiTheme="majorHAnsi" w:hAnsiTheme="majorHAnsi"/>
              </w:rPr>
              <w:t>5</w:t>
            </w:r>
          </w:p>
        </w:tc>
      </w:tr>
    </w:tbl>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p w:rsidR="000D64BD" w:rsidRDefault="000D64BD" w:rsidP="00EB6E35">
      <w:pPr>
        <w:spacing w:after="0" w:line="300" w:lineRule="exact"/>
        <w:rPr>
          <w:rFonts w:ascii="Cambria" w:eastAsia="Calibri" w:hAnsi="Cambria" w:cs="Times New Roman"/>
          <w:b/>
          <w:color w:val="365F91" w:themeColor="accent1" w:themeShade="BF"/>
          <w:sz w:val="28"/>
          <w:szCs w:val="28"/>
          <w:lang w:eastAsia="tr-TR"/>
        </w:rPr>
      </w:pPr>
    </w:p>
    <w:p w:rsidR="00202B1B" w:rsidRDefault="00202B1B"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0D64BD"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0D64BD" w:rsidRPr="000D64BD" w:rsidRDefault="000D64BD" w:rsidP="000D64BD">
      <w:pPr>
        <w:spacing w:before="60"/>
        <w:jc w:val="both"/>
        <w:rPr>
          <w:rFonts w:asciiTheme="majorHAnsi" w:hAnsiTheme="majorHAnsi"/>
        </w:rPr>
      </w:pPr>
      <w:r w:rsidRPr="000D64BD">
        <w:rPr>
          <w:rFonts w:asciiTheme="majorHAnsi" w:hAnsiTheme="majorHAnsi"/>
        </w:rPr>
        <w:t xml:space="preserve">2023 yılında merkez mürüdürü Dr. Öğr. Üyesi Hüseyin Karaca ve müdür yardımcısı Prof. Dr. Özlem Hesapçı’nın üniversitemizden ve merkezden ayrılması sonrasında 27.7.2023 tarihinde yeni bir yönetim kurulu oluşturulmuştur. Merkezin kapasitesinin arttırılması amacıyla iki Tubitak ve iki Horizon çağrısını başvurulmuştur. Tubitak 1711 başvurumuz olumlu neticelenmiş, üç başvurumuz ise inceleme aşamasındadır. </w:t>
      </w:r>
    </w:p>
    <w:p w:rsidR="000D64BD" w:rsidRPr="000D64BD" w:rsidRDefault="000D64BD" w:rsidP="000D64BD">
      <w:pPr>
        <w:spacing w:before="60"/>
        <w:jc w:val="both"/>
        <w:rPr>
          <w:rFonts w:asciiTheme="majorHAnsi" w:hAnsiTheme="majorHAnsi"/>
        </w:rPr>
      </w:pPr>
      <w:r w:rsidRPr="000D64BD">
        <w:rPr>
          <w:rFonts w:asciiTheme="majorHAnsi" w:hAnsiTheme="majorHAnsi"/>
        </w:rPr>
        <w:t xml:space="preserve">Merkezimizde Mart 2024 ayında teslim edeceğimiz iki Erasmus ve bir Horizon başvurusu hazırlık aşamasındadır. </w:t>
      </w:r>
    </w:p>
    <w:p w:rsidR="000D64BD" w:rsidRPr="000D64BD" w:rsidRDefault="000D64BD" w:rsidP="000D64BD">
      <w:pPr>
        <w:spacing w:before="60"/>
        <w:jc w:val="both"/>
        <w:rPr>
          <w:rFonts w:asciiTheme="majorHAnsi" w:hAnsiTheme="majorHAnsi"/>
        </w:rPr>
      </w:pPr>
      <w:r w:rsidRPr="000D64BD">
        <w:rPr>
          <w:rFonts w:asciiTheme="majorHAnsi" w:hAnsiTheme="majorHAnsi"/>
        </w:rPr>
        <w:t>Yukarıda bahsedilen projelerde Yaşam Bilimleri ve Teknolojileri Uygulama ve Araştırma Merkezi LifeSci ve Finans Uygulama ve Araştırma Merkezi CARF ile birlikte çalışmaktayız.</w:t>
      </w:r>
    </w:p>
    <w:p w:rsidR="000D64BD" w:rsidRPr="000D64BD" w:rsidRDefault="000D64BD" w:rsidP="000D64BD">
      <w:pPr>
        <w:spacing w:before="60"/>
        <w:jc w:val="both"/>
        <w:rPr>
          <w:rFonts w:asciiTheme="majorHAnsi" w:hAnsiTheme="majorHAnsi"/>
        </w:rPr>
      </w:pPr>
      <w:r w:rsidRPr="000D64BD">
        <w:rPr>
          <w:rFonts w:asciiTheme="majorHAnsi" w:hAnsiTheme="majorHAnsi"/>
        </w:rPr>
        <w:t xml:space="preserve">2024 yılında 8 proje vermeyi ve en azından 3 projeye kabul almayı hedeflemekteyiz. </w:t>
      </w:r>
    </w:p>
    <w:p w:rsidR="003F0441" w:rsidRPr="000D64BD" w:rsidRDefault="003F0441" w:rsidP="000D64BD">
      <w:pPr>
        <w:spacing w:before="60" w:after="0" w:line="300" w:lineRule="exact"/>
        <w:contextualSpacing/>
        <w:jc w:val="both"/>
        <w:rPr>
          <w:rFonts w:asciiTheme="majorHAnsi" w:hAnsiTheme="majorHAnsi"/>
          <w:lang w:eastAsia="ko-KR"/>
        </w:rPr>
      </w:pPr>
    </w:p>
    <w:sectPr w:rsidR="003F0441" w:rsidRPr="000D64B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41" w:rsidRDefault="00170841" w:rsidP="00D9381D">
      <w:pPr>
        <w:spacing w:after="0" w:line="240" w:lineRule="auto"/>
      </w:pPr>
      <w:r>
        <w:separator/>
      </w:r>
    </w:p>
  </w:endnote>
  <w:endnote w:type="continuationSeparator" w:id="0">
    <w:p w:rsidR="00170841" w:rsidRDefault="0017084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41" w:rsidRDefault="00170841" w:rsidP="00D9381D">
      <w:pPr>
        <w:spacing w:after="0" w:line="240" w:lineRule="auto"/>
      </w:pPr>
      <w:r>
        <w:separator/>
      </w:r>
    </w:p>
  </w:footnote>
  <w:footnote w:type="continuationSeparator" w:id="0">
    <w:p w:rsidR="00170841" w:rsidRDefault="00170841"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İş Analitiği ve Müşteri İçgörüsü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E627AD">
                <w:rPr>
                  <w:b/>
                  <w:color w:val="808080" w:themeColor="background1" w:themeShade="80"/>
                  <w:sz w:val="24"/>
                  <w:szCs w:val="24"/>
                </w:rPr>
                <w:t>23</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47E67634"/>
    <w:multiLevelType w:val="hybridMultilevel"/>
    <w:tmpl w:val="F5183D22"/>
    <w:lvl w:ilvl="0" w:tplc="FB2C800C">
      <w:start w:val="1"/>
      <w:numFmt w:val="lowerLetter"/>
      <w:lvlText w:val="%1)"/>
      <w:lvlJc w:val="left"/>
      <w:pPr>
        <w:ind w:left="720" w:hanging="360"/>
      </w:pPr>
      <w:rPr>
        <w:rFonts w:ascii="Trebuchet MS" w:eastAsiaTheme="minorHAnsi" w:hAnsi="Trebuchet MS" w:cstheme="minorBid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9"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0"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2"/>
  </w:num>
  <w:num w:numId="4">
    <w:abstractNumId w:val="1"/>
  </w:num>
  <w:num w:numId="5">
    <w:abstractNumId w:val="16"/>
  </w:num>
  <w:num w:numId="6">
    <w:abstractNumId w:val="10"/>
  </w:num>
  <w:num w:numId="7">
    <w:abstractNumId w:val="7"/>
  </w:num>
  <w:num w:numId="8">
    <w:abstractNumId w:val="3"/>
  </w:num>
  <w:num w:numId="9">
    <w:abstractNumId w:val="15"/>
  </w:num>
  <w:num w:numId="10">
    <w:abstractNumId w:val="0"/>
  </w:num>
  <w:num w:numId="11">
    <w:abstractNumId w:val="12"/>
  </w:num>
  <w:num w:numId="12">
    <w:abstractNumId w:val="8"/>
  </w:num>
  <w:num w:numId="13">
    <w:abstractNumId w:val="6"/>
  </w:num>
  <w:num w:numId="14">
    <w:abstractNumId w:val="9"/>
  </w:num>
  <w:num w:numId="15">
    <w:abstractNumId w:val="11"/>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167"/>
    <w:rsid w:val="00045483"/>
    <w:rsid w:val="000459E0"/>
    <w:rsid w:val="000472C8"/>
    <w:rsid w:val="00050B4B"/>
    <w:rsid w:val="00054259"/>
    <w:rsid w:val="00064866"/>
    <w:rsid w:val="00065CC1"/>
    <w:rsid w:val="00071818"/>
    <w:rsid w:val="00074A37"/>
    <w:rsid w:val="00076588"/>
    <w:rsid w:val="00080D04"/>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D64BD"/>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C10"/>
    <w:rsid w:val="00167E33"/>
    <w:rsid w:val="00170172"/>
    <w:rsid w:val="00170841"/>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1C3"/>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2B1B"/>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37A26"/>
    <w:rsid w:val="0024069D"/>
    <w:rsid w:val="002430E9"/>
    <w:rsid w:val="00246E71"/>
    <w:rsid w:val="002471B2"/>
    <w:rsid w:val="00256B00"/>
    <w:rsid w:val="002631D1"/>
    <w:rsid w:val="00276123"/>
    <w:rsid w:val="002822B5"/>
    <w:rsid w:val="00283DC8"/>
    <w:rsid w:val="00285883"/>
    <w:rsid w:val="0028619E"/>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36077"/>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2846"/>
    <w:rsid w:val="00383CFC"/>
    <w:rsid w:val="00385B94"/>
    <w:rsid w:val="0038602B"/>
    <w:rsid w:val="00386C7C"/>
    <w:rsid w:val="00387378"/>
    <w:rsid w:val="0039136C"/>
    <w:rsid w:val="00391A1C"/>
    <w:rsid w:val="00394B6C"/>
    <w:rsid w:val="00396F6A"/>
    <w:rsid w:val="00397925"/>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48BE"/>
    <w:rsid w:val="00465004"/>
    <w:rsid w:val="00465678"/>
    <w:rsid w:val="004657A1"/>
    <w:rsid w:val="004748E8"/>
    <w:rsid w:val="00480F5E"/>
    <w:rsid w:val="004811EB"/>
    <w:rsid w:val="00482A0E"/>
    <w:rsid w:val="00483B58"/>
    <w:rsid w:val="00490AF5"/>
    <w:rsid w:val="00496543"/>
    <w:rsid w:val="00496FE9"/>
    <w:rsid w:val="004A1BC4"/>
    <w:rsid w:val="004A5711"/>
    <w:rsid w:val="004A7650"/>
    <w:rsid w:val="004B011A"/>
    <w:rsid w:val="004B084C"/>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6D6"/>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1D11"/>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3D4D"/>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16D30"/>
    <w:rsid w:val="006210D4"/>
    <w:rsid w:val="00621D23"/>
    <w:rsid w:val="006226C6"/>
    <w:rsid w:val="00625E58"/>
    <w:rsid w:val="00626955"/>
    <w:rsid w:val="00626FBE"/>
    <w:rsid w:val="00627B57"/>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2A56"/>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5C6"/>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E62"/>
    <w:rsid w:val="0075656F"/>
    <w:rsid w:val="0076005F"/>
    <w:rsid w:val="00761F32"/>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2C1E"/>
    <w:rsid w:val="00834244"/>
    <w:rsid w:val="0083451B"/>
    <w:rsid w:val="00834C92"/>
    <w:rsid w:val="0083588D"/>
    <w:rsid w:val="00836691"/>
    <w:rsid w:val="008373AF"/>
    <w:rsid w:val="00837FE0"/>
    <w:rsid w:val="008400CF"/>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553"/>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50C8A"/>
    <w:rsid w:val="00A50E9F"/>
    <w:rsid w:val="00A51C55"/>
    <w:rsid w:val="00A53E5B"/>
    <w:rsid w:val="00A612E0"/>
    <w:rsid w:val="00A65901"/>
    <w:rsid w:val="00A67FC5"/>
    <w:rsid w:val="00A7092A"/>
    <w:rsid w:val="00A75686"/>
    <w:rsid w:val="00A77ECF"/>
    <w:rsid w:val="00A81C67"/>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3E74"/>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7B3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6B"/>
    <w:rsid w:val="00C839FE"/>
    <w:rsid w:val="00C840A6"/>
    <w:rsid w:val="00C84437"/>
    <w:rsid w:val="00C848DA"/>
    <w:rsid w:val="00C86327"/>
    <w:rsid w:val="00C917D1"/>
    <w:rsid w:val="00C9299F"/>
    <w:rsid w:val="00C936A2"/>
    <w:rsid w:val="00C95CC8"/>
    <w:rsid w:val="00CA02FD"/>
    <w:rsid w:val="00CA077D"/>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145"/>
    <w:rsid w:val="00D23791"/>
    <w:rsid w:val="00D26869"/>
    <w:rsid w:val="00D27D52"/>
    <w:rsid w:val="00D3072E"/>
    <w:rsid w:val="00D324AB"/>
    <w:rsid w:val="00D32ECF"/>
    <w:rsid w:val="00D34F03"/>
    <w:rsid w:val="00D42114"/>
    <w:rsid w:val="00D43243"/>
    <w:rsid w:val="00D43825"/>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3A4"/>
    <w:rsid w:val="00DE3D34"/>
    <w:rsid w:val="00DE50F1"/>
    <w:rsid w:val="00DE7B7E"/>
    <w:rsid w:val="00DF40E2"/>
    <w:rsid w:val="00DF4486"/>
    <w:rsid w:val="00DF5A23"/>
    <w:rsid w:val="00E01A3D"/>
    <w:rsid w:val="00E01D70"/>
    <w:rsid w:val="00E02891"/>
    <w:rsid w:val="00E04F8D"/>
    <w:rsid w:val="00E13C0F"/>
    <w:rsid w:val="00E14770"/>
    <w:rsid w:val="00E14D67"/>
    <w:rsid w:val="00E157E2"/>
    <w:rsid w:val="00E20F22"/>
    <w:rsid w:val="00E23B70"/>
    <w:rsid w:val="00E25A4C"/>
    <w:rsid w:val="00E26775"/>
    <w:rsid w:val="00E2714E"/>
    <w:rsid w:val="00E32491"/>
    <w:rsid w:val="00E33080"/>
    <w:rsid w:val="00E330F2"/>
    <w:rsid w:val="00E33C1E"/>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27A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97FA3"/>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2E1F"/>
    <w:rsid w:val="00EF34F0"/>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195"/>
    <w:rsid w:val="00FE480E"/>
    <w:rsid w:val="00FE51F3"/>
    <w:rsid w:val="00FE67B2"/>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6883"/>
  <w15:docId w15:val="{BFD3F226-0038-4D00-96FA-F529DA8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A90426-65FF-4146-8E6A-19FA187F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1368</Words>
  <Characters>7799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2023</dc:subject>
  <dc:creator>Gülşen Mutlu</dc:creator>
  <cp:lastModifiedBy>user</cp:lastModifiedBy>
  <cp:revision>39</cp:revision>
  <dcterms:created xsi:type="dcterms:W3CDTF">2022-12-29T07:58:00Z</dcterms:created>
  <dcterms:modified xsi:type="dcterms:W3CDTF">2024-03-25T12:51:00Z</dcterms:modified>
</cp:coreProperties>
</file>