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ascii="Trebuchet MS" w:eastAsiaTheme="minorEastAsia" w:hAnsi="Trebuchet MS" w:cstheme="minorBidi"/>
          <w:b w:val="0"/>
          <w:bCs w:val="0"/>
          <w:sz w:val="20"/>
          <w:szCs w:val="20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79"/>
            <w:gridCol w:w="3407"/>
            <w:gridCol w:w="2616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0A5614" w:rsidP="000A5614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proofErr w:type="gramStart"/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MAKRO EKONOMİ</w:t>
                </w:r>
                <w:proofErr w:type="gramEnd"/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VE UYGULAMALI EKONOMETRİ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C25962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C93AAB" w:rsidRDefault="00C93AAB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2A594D" w:rsidP="00AB1E10">
          <w:pPr>
            <w:spacing w:after="0" w:line="340" w:lineRule="atLeas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59FB9E7" wp14:editId="6BABAEDA">
                <wp:simplePos x="0" y="0"/>
                <wp:positionH relativeFrom="margin">
                  <wp:align>center</wp:align>
                </wp:positionH>
                <wp:positionV relativeFrom="margin">
                  <wp:posOffset>6910070</wp:posOffset>
                </wp:positionV>
                <wp:extent cx="1393190" cy="1784350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178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4B47FB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B6488C" w:rsidRDefault="00B6488C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6488C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1E000C" w:rsidRDefault="005D1C01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Shadow Economies Workshop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 xml:space="preserve">12 </w:t>
          </w:r>
          <w:proofErr w:type="spellStart"/>
          <w:r w:rsidRPr="001E000C">
            <w:rPr>
              <w:rFonts w:asciiTheme="majorHAnsi" w:eastAsiaTheme="minorHAnsi" w:hAnsiTheme="majorHAnsi"/>
              <w:lang w:val="en-US" w:eastAsia="ko-KR"/>
            </w:rPr>
            <w:t>Ekim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1E000C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1E000C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25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7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Workshop on Recent Advances in Dynamic Macroeconomics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 xml:space="preserve">12 </w:t>
          </w:r>
          <w:proofErr w:type="spellStart"/>
          <w:r w:rsidRPr="001E000C">
            <w:rPr>
              <w:rFonts w:asciiTheme="majorHAnsi" w:eastAsiaTheme="minorHAnsi" w:hAnsiTheme="majorHAnsi"/>
              <w:lang w:val="en-US" w:eastAsia="ko-KR"/>
            </w:rPr>
            <w:t>Ekim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1E000C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1E000C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45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11</w:t>
          </w:r>
        </w:p>
        <w:p w:rsidR="00E72B4D" w:rsidRPr="001E000C" w:rsidRDefault="00E72B4D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481E3F" w:rsidRPr="001E000C" w:rsidRDefault="00B6488C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481E3F"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2012 Current Account Imbalances: Annual</w:t>
          </w:r>
          <w:r w:rsidR="001E000C"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Conference</w:t>
          </w:r>
        </w:p>
        <w:p w:rsidR="00481E3F" w:rsidRPr="001E000C" w:rsidRDefault="00481E3F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  <w:t xml:space="preserve">  </w:t>
          </w:r>
          <w:proofErr w:type="gramStart"/>
          <w:r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of</w:t>
          </w:r>
          <w:proofErr w:type="gramEnd"/>
          <w:r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the Center for Economics and </w:t>
          </w:r>
          <w:r w:rsidR="001E000C" w:rsidRPr="001E000C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Econometrics</w:t>
          </w:r>
        </w:p>
        <w:p w:rsidR="00B6488C" w:rsidRPr="001E000C" w:rsidRDefault="00B6488C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="00481E3F"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481E3F" w:rsidRPr="001E000C">
            <w:rPr>
              <w:rFonts w:asciiTheme="majorHAnsi" w:eastAsiaTheme="minorHAnsi" w:hAnsiTheme="majorHAnsi"/>
              <w:lang w:val="en-US" w:eastAsia="ko-KR"/>
            </w:rPr>
            <w:t xml:space="preserve">17-18 </w:t>
          </w:r>
          <w:proofErr w:type="spellStart"/>
          <w:r w:rsidR="00481E3F" w:rsidRPr="001E000C">
            <w:rPr>
              <w:rFonts w:asciiTheme="majorHAnsi" w:eastAsiaTheme="minorHAnsi" w:hAnsiTheme="majorHAnsi"/>
              <w:lang w:val="en-US" w:eastAsia="ko-KR"/>
            </w:rPr>
            <w:t>Aralık</w:t>
          </w:r>
          <w:proofErr w:type="spellEnd"/>
          <w:r w:rsidR="00481E3F"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="00722A80" w:rsidRPr="001E000C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481E3F" w:rsidRPr="001E000C" w:rsidRDefault="00B6488C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="00292F93" w:rsidRPr="001E000C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="00292F93" w:rsidRPr="001E000C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="00292F93" w:rsidRPr="001E000C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</w:p>
        <w:p w:rsidR="00B6488C" w:rsidRPr="001E000C" w:rsidRDefault="00B6488C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="00481E3F"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="003D107F"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="003D107F" w:rsidRPr="001E000C">
            <w:rPr>
              <w:rFonts w:asciiTheme="majorHAnsi" w:eastAsiaTheme="minorHAnsi" w:hAnsiTheme="majorHAnsi"/>
              <w:lang w:val="en-US" w:eastAsia="ko-KR"/>
            </w:rPr>
            <w:t>1</w:t>
          </w:r>
          <w:r w:rsidR="00481E3F" w:rsidRPr="001E000C">
            <w:rPr>
              <w:rFonts w:asciiTheme="majorHAnsi" w:eastAsiaTheme="minorHAnsi" w:hAnsiTheme="majorHAnsi"/>
              <w:lang w:val="en-US" w:eastAsia="ko-KR"/>
            </w:rPr>
            <w:t>5</w:t>
          </w:r>
          <w:r w:rsidRPr="001E000C">
            <w:rPr>
              <w:rFonts w:asciiTheme="majorHAnsi" w:eastAsiaTheme="minorHAnsi" w:hAnsiTheme="majorHAnsi"/>
              <w:lang w:val="en-US" w:eastAsia="ko-KR"/>
            </w:rPr>
            <w:t>0</w:t>
          </w:r>
        </w:p>
        <w:p w:rsidR="00481E3F" w:rsidRPr="001E000C" w:rsidRDefault="00481E3F" w:rsidP="00A54DF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3D107F" w:rsidRPr="001E000C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="003D107F" w:rsidRPr="001E000C">
            <w:rPr>
              <w:rFonts w:asciiTheme="majorHAnsi" w:eastAsiaTheme="minorHAnsi" w:hAnsiTheme="majorHAnsi"/>
              <w:lang w:val="en-US" w:eastAsia="ko-KR"/>
            </w:rPr>
            <w:t>40</w:t>
          </w:r>
        </w:p>
        <w:p w:rsidR="001679DC" w:rsidRPr="001E000C" w:rsidRDefault="001679DC" w:rsidP="00FA5565">
          <w:pPr>
            <w:tabs>
              <w:tab w:val="left" w:pos="8340"/>
            </w:tabs>
            <w:spacing w:after="0" w:line="300" w:lineRule="exact"/>
            <w:rPr>
              <w:rFonts w:asciiTheme="majorHAnsi" w:hAnsiTheme="majorHAnsi"/>
            </w:rPr>
          </w:pPr>
        </w:p>
        <w:p w:rsidR="001679DC" w:rsidRPr="00D971EB" w:rsidRDefault="001679DC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sz w:val="28"/>
              <w:szCs w:val="28"/>
              <w:lang w:eastAsia="ko-KR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 ÜYELERİNİN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KATILDIKLARI BİLİMSEL TOPLANTILAR</w:t>
          </w:r>
        </w:p>
        <w:p w:rsidR="001679DC" w:rsidRPr="001E000C" w:rsidRDefault="001679D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1679DC" w:rsidRPr="001E000C" w:rsidRDefault="001679D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="00A54DFE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MRM </w:t>
          </w:r>
          <w:r w:rsidR="00740597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2012 Workshop</w:t>
          </w:r>
        </w:p>
        <w:p w:rsidR="001679DC" w:rsidRPr="001E000C" w:rsidRDefault="001679D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="00740597" w:rsidRPr="001E000C">
            <w:rPr>
              <w:rFonts w:asciiTheme="majorHAnsi" w:hAnsiTheme="majorHAnsi"/>
              <w:lang w:eastAsia="ko-KR"/>
            </w:rPr>
            <w:t>Ceyhun Elgin</w:t>
          </w:r>
        </w:p>
        <w:p w:rsidR="001679DC" w:rsidRPr="001E000C" w:rsidRDefault="001679D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: </w:t>
          </w:r>
          <w:r w:rsidR="00740597" w:rsidRPr="001E000C">
            <w:rPr>
              <w:rFonts w:asciiTheme="majorHAnsi" w:hAnsiTheme="majorHAnsi"/>
              <w:lang w:eastAsia="ko-KR"/>
            </w:rPr>
            <w:t xml:space="preserve">21-24 Mart </w:t>
          </w:r>
          <w:r w:rsidR="00C0405C" w:rsidRPr="001E000C">
            <w:rPr>
              <w:rFonts w:asciiTheme="majorHAnsi" w:hAnsiTheme="majorHAnsi"/>
              <w:lang w:eastAsia="ko-KR"/>
            </w:rPr>
            <w:t>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1679DC" w:rsidRPr="001E000C" w:rsidRDefault="001679D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="00740597" w:rsidRPr="001E000C">
            <w:rPr>
              <w:rFonts w:asciiTheme="majorHAnsi" w:hAnsiTheme="majorHAnsi"/>
              <w:lang w:eastAsia="ko-KR"/>
            </w:rPr>
            <w:t>Floransa</w:t>
          </w:r>
        </w:p>
        <w:p w:rsidR="00D14E68" w:rsidRPr="001E000C" w:rsidRDefault="001679DC" w:rsidP="001E000C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TimesNewRomanPSMT"/>
              <w:color w:val="222222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="00740597" w:rsidRPr="001E000C">
            <w:rPr>
              <w:rFonts w:asciiTheme="majorHAnsi" w:hAnsiTheme="majorHAnsi"/>
              <w:lang w:eastAsia="ko-KR"/>
            </w:rPr>
            <w:tab/>
          </w:r>
          <w:r w:rsidR="00740597"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="00740597"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="00740597" w:rsidRPr="001E000C">
            <w:rPr>
              <w:rFonts w:asciiTheme="majorHAnsi" w:hAnsiTheme="majorHAnsi"/>
              <w:lang w:eastAsia="ko-KR"/>
            </w:rPr>
            <w:t>Informal</w:t>
          </w:r>
          <w:proofErr w:type="spellEnd"/>
          <w:r w:rsidR="00740597"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7B6BAE" w:rsidRPr="001E000C">
            <w:rPr>
              <w:rFonts w:asciiTheme="majorHAnsi" w:hAnsiTheme="majorHAnsi"/>
              <w:lang w:eastAsia="ko-KR"/>
            </w:rPr>
            <w:t>economy</w:t>
          </w:r>
          <w:proofErr w:type="spellEnd"/>
          <w:r w:rsidR="007B6BAE" w:rsidRPr="001E000C">
            <w:rPr>
              <w:rFonts w:asciiTheme="majorHAnsi" w:hAnsiTheme="majorHAnsi"/>
              <w:lang w:eastAsia="ko-KR"/>
            </w:rPr>
            <w:t xml:space="preserve"> in </w:t>
          </w:r>
          <w:proofErr w:type="spellStart"/>
          <w:r w:rsidR="007B6BAE" w:rsidRPr="001E000C">
            <w:rPr>
              <w:rFonts w:asciiTheme="majorHAnsi" w:hAnsiTheme="majorHAnsi"/>
              <w:lang w:eastAsia="ko-KR"/>
            </w:rPr>
            <w:t>mediterranean</w:t>
          </w:r>
          <w:proofErr w:type="spellEnd"/>
          <w:r w:rsidR="007B6BAE"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7B6BAE" w:rsidRPr="001E000C">
            <w:rPr>
              <w:rFonts w:asciiTheme="majorHAnsi" w:hAnsiTheme="majorHAnsi"/>
              <w:lang w:eastAsia="ko-KR"/>
            </w:rPr>
            <w:t>economies</w:t>
          </w:r>
          <w:proofErr w:type="spellEnd"/>
          <w:r w:rsidR="00740597" w:rsidRPr="001E000C">
            <w:rPr>
              <w:rFonts w:asciiTheme="majorHAnsi" w:hAnsiTheme="majorHAnsi"/>
              <w:lang w:eastAsia="ko-KR"/>
            </w:rPr>
            <w:t>”</w:t>
          </w:r>
        </w:p>
        <w:p w:rsidR="00D14E68" w:rsidRPr="001E000C" w:rsidRDefault="00D14E68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</w:rPr>
          </w:pPr>
        </w:p>
        <w:p w:rsidR="00EF17A7" w:rsidRPr="001E000C" w:rsidRDefault="00EF17A7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ERF 18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vertAlign w:val="superscript"/>
              <w:lang w:eastAsia="ko-KR"/>
            </w:rPr>
            <w:t>th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Annual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Conference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  <w:t xml:space="preserve">   </w:t>
          </w:r>
        </w:p>
        <w:p w:rsidR="00EF17A7" w:rsidRPr="001E000C" w:rsidRDefault="00EF17A7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Levent Yıldıran</w:t>
          </w:r>
        </w:p>
        <w:p w:rsidR="00EF17A7" w:rsidRPr="001E000C" w:rsidRDefault="00EF17A7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25-27 Mart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EF17A7" w:rsidRPr="001E000C" w:rsidRDefault="00EF17A7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Kahire</w:t>
          </w:r>
        </w:p>
        <w:p w:rsidR="00EF17A7" w:rsidRPr="001E000C" w:rsidRDefault="00EF17A7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Who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bears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burden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of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banking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transformation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in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Turkey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? </w:t>
          </w:r>
        </w:p>
        <w:p w:rsidR="00EF17A7" w:rsidRPr="001E000C" w:rsidRDefault="00EF17A7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</w:t>
          </w:r>
          <w:r w:rsidR="007B13EA" w:rsidRPr="001E000C">
            <w:rPr>
              <w:rFonts w:asciiTheme="majorHAnsi" w:hAnsiTheme="majorHAnsi"/>
              <w:lang w:eastAsia="ko-KR"/>
            </w:rPr>
            <w:t xml:space="preserve">                               A</w:t>
          </w:r>
          <w:r w:rsidRPr="001E000C">
            <w:rPr>
              <w:rFonts w:asciiTheme="majorHAnsi" w:hAnsiTheme="majorHAnsi"/>
              <w:lang w:eastAsia="ko-KR"/>
            </w:rPr>
            <w:t xml:space="preserve">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empirical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analysis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of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demand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,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competition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welfare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EF17A7" w:rsidRPr="001E000C" w:rsidRDefault="00EF17A7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</w:rPr>
          </w:pPr>
        </w:p>
        <w:p w:rsidR="007B6BAE" w:rsidRPr="001E000C" w:rsidRDefault="007B6BAE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: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Bilkent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University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Departmental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Seminars</w:t>
          </w:r>
          <w:proofErr w:type="spellEnd"/>
        </w:p>
        <w:p w:rsidR="007B6BAE" w:rsidRPr="001E000C" w:rsidRDefault="007B6BAE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Ceyhun Elgin</w:t>
          </w:r>
        </w:p>
        <w:p w:rsidR="007B6BAE" w:rsidRPr="001E000C" w:rsidRDefault="007B6BAE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20 Nisan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7B6BAE" w:rsidRPr="001E000C" w:rsidRDefault="007B6BAE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Ankara</w:t>
          </w:r>
        </w:p>
        <w:p w:rsidR="007B6BAE" w:rsidRPr="001E000C" w:rsidRDefault="007B6BAE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Shadow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economy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environmental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pollution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6A4724" w:rsidRDefault="006A4724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1E000C" w:rsidRDefault="001E000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1E000C" w:rsidRDefault="001E000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1E000C" w:rsidRDefault="001E000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1E000C" w:rsidRPr="001E000C" w:rsidRDefault="001E000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lastRenderedPageBreak/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World Conference on Business,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Economics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Management </w:t>
          </w:r>
        </w:p>
        <w:p w:rsidR="002C2EE0" w:rsidRPr="001E000C" w:rsidRDefault="002C2EE0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Rıfat Barış Tekin</w:t>
          </w:r>
        </w:p>
        <w:p w:rsidR="003405F9" w:rsidRPr="001E000C" w:rsidRDefault="002C2EE0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4-6 Mayıs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2C2EE0" w:rsidRPr="001E000C" w:rsidRDefault="002C2EE0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Antalya</w:t>
          </w: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“Development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aid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,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openness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to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trade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economic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growth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in</w:t>
          </w: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                            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least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developed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countries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: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Bootstrap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panel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granger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causality</w:t>
          </w:r>
          <w:proofErr w:type="spellEnd"/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             </w:t>
          </w:r>
          <w:r w:rsidR="007B13EA"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analysis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8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vertAlign w:val="superscript"/>
              <w:lang w:eastAsia="ko-KR"/>
            </w:rPr>
            <w:t>th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BETA Workshop in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Historiacal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Economics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</w:p>
        <w:p w:rsidR="002C2EE0" w:rsidRPr="001E000C" w:rsidRDefault="002C2EE0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Murat Koyuncu</w:t>
          </w:r>
        </w:p>
        <w:p w:rsidR="002C2EE0" w:rsidRPr="001E000C" w:rsidRDefault="002C2EE0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11-12 Mayıs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2C2EE0" w:rsidRPr="001E000C" w:rsidRDefault="002C2EE0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Dubai, BAE</w:t>
          </w: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“Optimal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taxation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from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a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historial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perspective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2C2EE0" w:rsidRPr="001E000C" w:rsidRDefault="002C2EE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13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vertAlign w:val="superscript"/>
              <w:lang w:eastAsia="ko-KR"/>
            </w:rPr>
            <w:t>th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International Conference on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Econometrics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, Operations</w:t>
          </w:r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  <w:t xml:space="preserve">  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Research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Statistics</w:t>
          </w:r>
          <w:proofErr w:type="spellEnd"/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Abdullah Yalama</w:t>
          </w:r>
        </w:p>
        <w:p w:rsidR="001579A2" w:rsidRPr="001E000C" w:rsidRDefault="001579A2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24-26 Mayıs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1579A2" w:rsidRPr="001E000C" w:rsidRDefault="001579A2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Magosa</w:t>
          </w:r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Jumps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in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emerging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markets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: </w:t>
          </w:r>
          <w:proofErr w:type="spellStart"/>
          <w:r w:rsidR="009A3C99" w:rsidRPr="001E000C">
            <w:rPr>
              <w:rFonts w:asciiTheme="majorHAnsi" w:hAnsiTheme="majorHAnsi"/>
              <w:lang w:eastAsia="ko-KR"/>
            </w:rPr>
            <w:t>E</w:t>
          </w:r>
          <w:r w:rsidRPr="001E000C">
            <w:rPr>
              <w:rFonts w:asciiTheme="majorHAnsi" w:hAnsiTheme="majorHAnsi"/>
              <w:lang w:eastAsia="ko-KR"/>
            </w:rPr>
            <w:t>mpirical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evidence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from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spot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futures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equity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markets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in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Turkey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4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vertAlign w:val="superscript"/>
              <w:lang w:eastAsia="ko-KR"/>
            </w:rPr>
            <w:t>th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International IFABS Conference on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Rethinking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Banking</w:t>
          </w:r>
          <w:proofErr w:type="spellEnd"/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ab/>
            <w:t xml:space="preserve">  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Finance: Money,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Markets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Models</w:t>
          </w:r>
          <w:proofErr w:type="spellEnd"/>
          <w:r w:rsidRPr="001E000C">
            <w:rPr>
              <w:rFonts w:asciiTheme="majorHAnsi" w:hAnsiTheme="majorHAnsi"/>
              <w:color w:val="365F91" w:themeColor="accent1" w:themeShade="BF"/>
              <w:lang w:eastAsia="ko-KR"/>
            </w:rPr>
            <w:br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Levent Yıldıran</w:t>
          </w:r>
        </w:p>
        <w:p w:rsidR="001579A2" w:rsidRPr="001E000C" w:rsidRDefault="001579A2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18-20 Haziran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1579A2" w:rsidRPr="001E000C" w:rsidRDefault="001579A2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Valencia</w:t>
          </w:r>
        </w:p>
        <w:p w:rsidR="001579A2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Demand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,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competition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welfare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analysis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in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Turkish</w:t>
          </w:r>
          <w:proofErr w:type="spellEnd"/>
        </w:p>
        <w:p w:rsidR="002C2EE0" w:rsidRPr="001E000C" w:rsidRDefault="001579A2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banking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sector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F17145" w:rsidRPr="001E000C" w:rsidRDefault="00F17145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F17145" w:rsidRPr="001E000C" w:rsidRDefault="00F17145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22</w:t>
          </w:r>
          <w:r w:rsidRPr="001E000C">
            <w:rPr>
              <w:rFonts w:asciiTheme="majorHAnsi" w:hAnsiTheme="majorHAnsi"/>
              <w:b/>
              <w:color w:val="365F91" w:themeColor="accent1" w:themeShade="BF"/>
              <w:vertAlign w:val="superscript"/>
              <w:lang w:eastAsia="ko-KR"/>
            </w:rPr>
            <w:t>nd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IPSA World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Congress</w:t>
          </w:r>
          <w:proofErr w:type="spellEnd"/>
        </w:p>
        <w:p w:rsidR="00F17145" w:rsidRPr="001E000C" w:rsidRDefault="00F17145" w:rsidP="001E000C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Özlem Öz</w:t>
          </w:r>
        </w:p>
        <w:p w:rsidR="00F17145" w:rsidRPr="001E000C" w:rsidRDefault="00F17145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8-12 Temmuz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F17145" w:rsidRPr="001E000C" w:rsidRDefault="00F17145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Madrid</w:t>
          </w:r>
        </w:p>
        <w:p w:rsidR="00F17145" w:rsidRPr="001E000C" w:rsidRDefault="00F17145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Rethinking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spatial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inequality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urban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transformation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: </w:t>
          </w:r>
        </w:p>
        <w:p w:rsidR="00F17145" w:rsidRPr="001E000C" w:rsidRDefault="00F17145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                            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İstanbul’s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entertainment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clusters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740597" w:rsidRPr="001E000C" w:rsidRDefault="00740597" w:rsidP="001E000C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</w:p>
        <w:p w:rsidR="0072576A" w:rsidRPr="001E000C" w:rsidRDefault="0072576A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Nobel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Symposia</w:t>
          </w:r>
          <w:proofErr w:type="spellEnd"/>
        </w:p>
        <w:p w:rsidR="0072576A" w:rsidRPr="001E000C" w:rsidRDefault="0072576A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Refik Erzan</w:t>
          </w:r>
        </w:p>
        <w:p w:rsidR="0072576A" w:rsidRPr="001E000C" w:rsidRDefault="0072576A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3-8 Eylül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72576A" w:rsidRPr="001E000C" w:rsidRDefault="0072576A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Stokholm</w:t>
          </w:r>
          <w:proofErr w:type="spellEnd"/>
        </w:p>
        <w:p w:rsidR="00F17145" w:rsidRPr="001E000C" w:rsidRDefault="00F17145" w:rsidP="001E000C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  <w:lang w:eastAsia="ko-KR"/>
            </w:rPr>
          </w:pPr>
        </w:p>
        <w:p w:rsidR="007A41B6" w:rsidRPr="001E000C" w:rsidRDefault="007A41B6" w:rsidP="001E000C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Project LINK Fall Meeting 2012</w:t>
          </w:r>
        </w:p>
        <w:p w:rsidR="007A41B6" w:rsidRPr="001E000C" w:rsidRDefault="007A41B6" w:rsidP="001E000C">
          <w:pPr>
            <w:tabs>
              <w:tab w:val="left" w:pos="0"/>
            </w:tabs>
            <w:spacing w:after="0" w:line="28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 xml:space="preserve">Süleyman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Özmucur</w:t>
          </w:r>
          <w:proofErr w:type="spellEnd"/>
        </w:p>
        <w:p w:rsidR="007A41B6" w:rsidRPr="001E000C" w:rsidRDefault="007A41B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22-24 Ekim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7A41B6" w:rsidRPr="001E000C" w:rsidRDefault="007A41B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New York, ABD</w:t>
          </w:r>
        </w:p>
        <w:p w:rsidR="007A41B6" w:rsidRPr="001E000C" w:rsidRDefault="007A41B6" w:rsidP="001E000C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“Country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report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: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Turkey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lastRenderedPageBreak/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Türkiye Ekonomi Kurumu Uluslararası Ekonomi Kongresi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Tolga Umut Kuzubaş</w:t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1-3 Kasım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="003A10A5" w:rsidRPr="001E000C">
            <w:rPr>
              <w:rFonts w:asciiTheme="majorHAnsi" w:hAnsiTheme="majorHAnsi"/>
              <w:lang w:eastAsia="ko-KR"/>
            </w:rPr>
            <w:t>Çeşme,</w:t>
          </w:r>
          <w:r w:rsidR="003A10A5"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İzmir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Current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account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output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volatility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: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Evidence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from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panel- 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 xml:space="preserve"> VAR”</w:t>
          </w:r>
        </w:p>
        <w:p w:rsidR="009E6396" w:rsidRPr="001E000C" w:rsidRDefault="009E6396" w:rsidP="001E000C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TimesNewRomanPSMT"/>
              <w:color w:val="222222"/>
            </w:rPr>
          </w:pPr>
        </w:p>
        <w:p w:rsidR="00F02B8C" w:rsidRPr="001E000C" w:rsidRDefault="00F02B8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Türkiye Ekonomi Kurumu Uluslararası Ekonomi Kongresi</w:t>
          </w:r>
        </w:p>
        <w:p w:rsidR="00F02B8C" w:rsidRPr="001E000C" w:rsidRDefault="00F02B8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Abdullah Yalama</w:t>
          </w:r>
        </w:p>
        <w:p w:rsidR="00F02B8C" w:rsidRPr="001E000C" w:rsidRDefault="00F02B8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1-3 Kasım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F02B8C" w:rsidRPr="001E000C" w:rsidRDefault="00F02B8C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="00DD6E30" w:rsidRPr="001E000C">
            <w:rPr>
              <w:rFonts w:asciiTheme="majorHAnsi" w:hAnsiTheme="majorHAnsi"/>
              <w:lang w:eastAsia="ko-KR"/>
            </w:rPr>
            <w:t>Çeşme</w:t>
          </w:r>
          <w:r w:rsidR="007B6522" w:rsidRPr="001E000C">
            <w:rPr>
              <w:rFonts w:asciiTheme="majorHAnsi" w:hAnsiTheme="majorHAnsi"/>
              <w:lang w:eastAsia="ko-KR"/>
            </w:rPr>
            <w:t>, İzmir</w:t>
          </w:r>
        </w:p>
        <w:p w:rsidR="00DD6E30" w:rsidRPr="001E000C" w:rsidRDefault="00F02B8C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="00DD6E30" w:rsidRPr="001E000C">
            <w:rPr>
              <w:rFonts w:asciiTheme="majorHAnsi" w:hAnsiTheme="majorHAnsi"/>
              <w:lang w:eastAsia="ko-KR"/>
            </w:rPr>
            <w:t>Forecasting</w:t>
          </w:r>
          <w:proofErr w:type="spellEnd"/>
          <w:r w:rsidR="00DD6E30"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DD6E30" w:rsidRPr="001E000C">
            <w:rPr>
              <w:rFonts w:asciiTheme="majorHAnsi" w:hAnsiTheme="majorHAnsi"/>
              <w:lang w:eastAsia="ko-KR"/>
            </w:rPr>
            <w:t>financial</w:t>
          </w:r>
          <w:proofErr w:type="spellEnd"/>
          <w:r w:rsidR="00DD6E30"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DD6E30" w:rsidRPr="001E000C">
            <w:rPr>
              <w:rFonts w:asciiTheme="majorHAnsi" w:hAnsiTheme="majorHAnsi"/>
              <w:lang w:eastAsia="ko-KR"/>
            </w:rPr>
            <w:t>volatility</w:t>
          </w:r>
          <w:proofErr w:type="spellEnd"/>
          <w:r w:rsidR="00DD6E30" w:rsidRPr="001E000C">
            <w:rPr>
              <w:rFonts w:asciiTheme="majorHAnsi" w:hAnsiTheme="majorHAnsi"/>
              <w:lang w:eastAsia="ko-KR"/>
            </w:rPr>
            <w:t xml:space="preserve">: A </w:t>
          </w:r>
          <w:proofErr w:type="spellStart"/>
          <w:r w:rsidR="00DD6E30" w:rsidRPr="001E000C">
            <w:rPr>
              <w:rFonts w:asciiTheme="majorHAnsi" w:hAnsiTheme="majorHAnsi"/>
              <w:lang w:eastAsia="ko-KR"/>
            </w:rPr>
            <w:t>comparison</w:t>
          </w:r>
          <w:proofErr w:type="spellEnd"/>
          <w:r w:rsidR="00DD6E30" w:rsidRPr="001E000C">
            <w:rPr>
              <w:rFonts w:asciiTheme="majorHAnsi" w:hAnsiTheme="majorHAnsi"/>
              <w:lang w:eastAsia="ko-KR"/>
            </w:rPr>
            <w:t xml:space="preserve"> of </w:t>
          </w:r>
          <w:proofErr w:type="spellStart"/>
          <w:r w:rsidR="00DD6E30" w:rsidRPr="001E000C">
            <w:rPr>
              <w:rFonts w:asciiTheme="majorHAnsi" w:hAnsiTheme="majorHAnsi"/>
              <w:lang w:eastAsia="ko-KR"/>
            </w:rPr>
            <w:t>high</w:t>
          </w:r>
          <w:proofErr w:type="spellEnd"/>
          <w:r w:rsidR="00DD6E30" w:rsidRPr="001E000C">
            <w:rPr>
              <w:rFonts w:asciiTheme="majorHAnsi" w:hAnsiTheme="majorHAnsi"/>
              <w:lang w:eastAsia="ko-KR"/>
            </w:rPr>
            <w:t>-</w:t>
          </w:r>
        </w:p>
        <w:p w:rsidR="00DD6E30" w:rsidRPr="001E000C" w:rsidRDefault="00DD6E30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frequency-based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volatility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models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Bilkent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University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Departmental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Seminars</w:t>
          </w:r>
          <w:proofErr w:type="spellEnd"/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Ceyhun Elgin</w:t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1-3 Kasım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Ankara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Informal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economy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,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institutions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economic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development</w:t>
          </w:r>
          <w:proofErr w:type="spellEnd"/>
          <w:r w:rsidRPr="001E000C">
            <w:rPr>
              <w:rFonts w:asciiTheme="majorHAnsi" w:hAnsiTheme="majorHAnsi"/>
            </w:rPr>
            <w:t>”</w:t>
          </w:r>
        </w:p>
        <w:p w:rsidR="00587706" w:rsidRPr="001E000C" w:rsidRDefault="0058770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International Conference on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Turkish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Migration in Europe: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             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Projecting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Next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50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Years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 xml:space="preserve">Zeynep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Kadirbeyoğlu</w:t>
          </w:r>
          <w:proofErr w:type="spellEnd"/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7-9 Aralık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Londra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Changing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citizenship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law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in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Turkey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: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role of 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hAnsiTheme="majorHAnsi"/>
              <w:lang w:eastAsia="ko-KR"/>
            </w:rPr>
            <w:tab/>
            <w:t xml:space="preserve">                 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migrant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organizations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lang w:eastAsia="ko-KR"/>
            </w:rPr>
          </w:pP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Asian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Meeting of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Econometric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Society</w:t>
          </w:r>
          <w:proofErr w:type="spellEnd"/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Ceyhun Elgin</w:t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19-24 Aralık 2012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9E6396" w:rsidRPr="001E000C" w:rsidRDefault="009E6396" w:rsidP="001E000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1E000C">
            <w:rPr>
              <w:rFonts w:asciiTheme="majorHAnsi" w:hAnsiTheme="majorHAnsi"/>
              <w:lang w:eastAsia="ko-KR"/>
            </w:rPr>
            <w:t>Ankara</w:t>
          </w:r>
        </w:p>
        <w:p w:rsidR="009E6396" w:rsidRPr="001E000C" w:rsidRDefault="009E639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1E000C">
            <w:rPr>
              <w:rFonts w:asciiTheme="majorHAnsi" w:hAnsiTheme="majorHAnsi"/>
              <w:lang w:eastAsia="ko-KR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:</w:t>
          </w:r>
          <w:r w:rsidRPr="001E000C">
            <w:rPr>
              <w:rFonts w:asciiTheme="majorHAnsi" w:hAnsiTheme="majorHAnsi"/>
              <w:lang w:eastAsia="ko-KR"/>
            </w:rPr>
            <w:t xml:space="preserve"> “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Shadow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economy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environmental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lang w:eastAsia="ko-KR"/>
            </w:rPr>
            <w:t>pollution</w:t>
          </w:r>
          <w:proofErr w:type="spellEnd"/>
          <w:r w:rsidRPr="001E000C">
            <w:rPr>
              <w:rFonts w:asciiTheme="majorHAnsi" w:hAnsiTheme="majorHAnsi"/>
              <w:lang w:eastAsia="ko-KR"/>
            </w:rPr>
            <w:t>”</w:t>
          </w:r>
        </w:p>
        <w:p w:rsidR="00900676" w:rsidRPr="001E000C" w:rsidRDefault="00900676" w:rsidP="001E000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486CB3" w:rsidRDefault="001A7150" w:rsidP="00AB1E10">
          <w:pPr>
            <w:spacing w:after="0" w:line="340" w:lineRule="atLeas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 AĞIRLIKLI, MERKEZİN KATKISIYLA YAPILAN</w:t>
          </w:r>
        </w:p>
        <w:p w:rsidR="001A7150" w:rsidRPr="00D971EB" w:rsidRDefault="00486CB3" w:rsidP="00AB1E10">
          <w:pPr>
            <w:spacing w:after="0" w:line="340" w:lineRule="atLeas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 </w:t>
          </w:r>
          <w:r w:rsidR="001A7150"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ÇALIŞMALARA DAYANDIRILARAK YAYINLANAN BİLİMSEL YAYINLAR</w:t>
          </w:r>
        </w:p>
        <w:p w:rsidR="001A7150" w:rsidRPr="001E000C" w:rsidRDefault="001A7150" w:rsidP="001E000C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</w:rPr>
          </w:pPr>
        </w:p>
        <w:p w:rsidR="00B343CF" w:rsidRPr="001E000C" w:rsidRDefault="003D7D6C" w:rsidP="001E000C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1E000C">
            <w:rPr>
              <w:rFonts w:asciiTheme="majorHAnsi" w:hAnsiTheme="majorHAnsi" w:cs="InterstateLight"/>
              <w:b/>
              <w:color w:val="6E6F71"/>
            </w:rPr>
            <w:t>Makale</w:t>
          </w:r>
        </w:p>
        <w:p w:rsidR="00BE1F3C" w:rsidRPr="001E000C" w:rsidRDefault="00BE1F3C" w:rsidP="001E000C">
          <w:pPr>
            <w:pStyle w:val="Kaynaka"/>
            <w:spacing w:line="300" w:lineRule="exact"/>
            <w:rPr>
              <w:rFonts w:asciiTheme="majorHAnsi" w:hAnsiTheme="majorHAnsi" w:cs="Times New Roman"/>
            </w:rPr>
          </w:pP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lper</w:t>
          </w:r>
          <w:proofErr w:type="spellEnd"/>
          <w:proofErr w:type="gram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E.,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Fendo</w:t>
          </w:r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ğlu</w:t>
          </w:r>
          <w:proofErr w:type="spellEnd"/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S., </w:t>
          </w:r>
          <w:proofErr w:type="spellStart"/>
          <w:r w:rsidR="005F01C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Saltoğlu</w:t>
          </w:r>
          <w:proofErr w:type="spellEnd"/>
          <w:r w:rsidR="005F01C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B., “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MIDAS </w:t>
          </w:r>
          <w:r w:rsidR="005F01C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volatility forecast performance under market stress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: Eviden</w:t>
          </w:r>
          <w:r w:rsidR="005F01C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ce from emerging stock markets”, 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Economics Letters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Elsevier,  </w:t>
          </w:r>
          <w:r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117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(2)</w:t>
          </w:r>
          <w:r w:rsidR="005F01C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 528-532,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Default="005F01C0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Denizer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C.,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IDA's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role in global aid architecture”,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Working Paper, Concessional Finance and Resource Mobilization Department-IDA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World Bank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  <w:proofErr w:type="gramEnd"/>
        </w:p>
        <w:p w:rsidR="001E000C" w:rsidRPr="001E000C" w:rsidRDefault="001E000C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5F01C0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lastRenderedPageBreak/>
            <w:t>Denizer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C.,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Long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term development patterns 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of IDA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countries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Prospects for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convergence”</w:t>
          </w:r>
          <w:r w:rsidR="00BA669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Working Paper, Concessional Finance and Resource Mobilization Department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IDA, World Bank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Denizer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C</w:t>
          </w:r>
          <w:r w:rsidR="00BA669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., Kaufmann, D</w:t>
          </w:r>
          <w:r w:rsidR="00FF03E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</w:t>
          </w:r>
          <w:proofErr w:type="spellStart"/>
          <w:r w:rsidR="00BA669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Kraay</w:t>
          </w:r>
          <w:proofErr w:type="spellEnd"/>
          <w:r w:rsidR="00BA669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A., “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Good </w:t>
          </w:r>
          <w:r w:rsidR="00887E8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countries or good projects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?</w:t>
          </w:r>
          <w:proofErr w:type="gramStart"/>
          <w:r w:rsidR="00BA669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”</w:t>
          </w:r>
          <w:r w:rsidR="00E619B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</w:t>
          </w:r>
          <w:proofErr w:type="gramEnd"/>
          <w:r w:rsidR="00E619B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Macro and Micro Correlates of W</w:t>
          </w:r>
          <w:r w:rsidR="00BA6693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orld Bank Project Performance</w:t>
          </w:r>
          <w:r w:rsidR="00BA669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Dungey</w:t>
          </w:r>
          <w:proofErr w:type="spellEnd"/>
          <w:r w:rsidR="004418B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M., </w:t>
          </w:r>
          <w:proofErr w:type="spellStart"/>
          <w:r w:rsidR="00887E8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Yalama</w:t>
          </w:r>
          <w:proofErr w:type="spellEnd"/>
          <w:r w:rsidR="00887E8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A., “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Detecting </w:t>
          </w:r>
          <w:r w:rsidR="00887E8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contagion with correlation: Volatility and timing matter”, 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International journal of Applied Business and Economic Research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(Special Issues: Global Financial Crisis), </w:t>
          </w:r>
          <w:r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10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(1)</w:t>
          </w:r>
          <w:r w:rsidR="00887E8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D351CB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Elgin, C.,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 Theory of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economic development with endogenous fertility”,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Macroeconomic Dynamics,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16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(5</w:t>
          </w:r>
          <w:proofErr w:type="gramStart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</w:t>
          </w:r>
          <w:proofErr w:type="gram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686-705,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DB7FA4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Elgin, C.,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yclicality of informal economy”,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Economic Papers,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 xml:space="preserve"> 31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(4)</w:t>
          </w:r>
          <w:r w:rsidR="001E0C83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478-49, 2012.</w:t>
          </w:r>
          <w:proofErr w:type="gram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br/>
          </w:r>
        </w:p>
        <w:p w:rsidR="00BD00D1" w:rsidRPr="001E000C" w:rsidRDefault="001E0C83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Elgin, C.,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Uni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onization and informal economy”,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Economics Bulletin,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32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2615-2623, 2012.</w:t>
          </w:r>
          <w:proofErr w:type="gramEnd"/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5D1DA2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</w:pP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Elgin, </w:t>
          </w:r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C.,</w:t>
          </w:r>
          <w:proofErr w:type="gram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“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Vergiler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ve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kayıtdışı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ekonomi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: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Bir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değerlendirme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ve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Türkiye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örneği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 xml:space="preserve">”, 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de-DE" w:eastAsia="ko-KR"/>
            </w:rPr>
            <w:t>METU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de-DE" w:eastAsia="ko-KR"/>
            </w:rPr>
            <w:t xml:space="preserve"> Studies in Development,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de-DE" w:eastAsia="ko-KR"/>
            </w:rPr>
            <w:t>39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(2)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  <w:t>, 197-235,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de-DE" w:eastAsia="ko-KR"/>
            </w:rPr>
          </w:pPr>
        </w:p>
        <w:p w:rsidR="00BD00D1" w:rsidRPr="001E000C" w:rsidRDefault="00EB63BF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Elgin, C.,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Kuzub</w:t>
          </w:r>
          <w:r w:rsidR="00731B19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aş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T.U.,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Wage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productivity GAP in Turkish manufacturing sector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”,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İktisat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İşletme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Finans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27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(316)</w:t>
          </w:r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78162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09-31, 2012.</w:t>
          </w:r>
          <w:proofErr w:type="gramEnd"/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78162C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Elgin, C., Solis-Garcia, M.,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Public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rust,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taxes and the informal sector”,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Bo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ğ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azici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Journal: Review of Social, Economic and Administrative Studies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26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(1)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27-44,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78162C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Elgin, C.,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Tümen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S.,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Can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sustained economic growth and declining population coexist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?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barro-becker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children meet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lucas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Economic Modeling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29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(5)</w:t>
          </w:r>
          <w:r w:rsidR="002638BB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27-44,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2638BB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Erus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Aktakke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N.,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Impact of healthcare reforms on out-of-pocket health expenditures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Turkey for public insures”,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European Journal of Health Economics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13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</w:t>
          </w:r>
          <w:r w:rsidR="00C81AC6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337-346, 2012.</w:t>
          </w:r>
          <w:proofErr w:type="gramEnd"/>
        </w:p>
        <w:p w:rsidR="004B7C5E" w:rsidRPr="001E000C" w:rsidRDefault="004B7C5E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DC6D97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Kadirbeyoğlu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Z., 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“The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neoliberal transformation of local government 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 Turkey and the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contracting out of municipal services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Implications for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public accountability” (with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Bilgesu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Sumer),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Mediterranean Politics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12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</w:t>
          </w:r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340-357,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1D5599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Koyuncu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M.,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Trans-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tasman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transmission of government spending shocks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," w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ith P.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Arin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and C. Schumacher,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Australian Economics Papers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51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(4)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 167-188,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7517D7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Özmucur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S., “500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Büyük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kuruluşta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mali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ekonomik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göstergeler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1980-2011”,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İstanbul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Sanayi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Odası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Dergisi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  <w:proofErr w:type="gramEnd"/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FB7E99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Ö.,</w:t>
          </w:r>
          <w:proofErr w:type="gram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Eder, M., “Rendering İ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stanbul’s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periodic bazaars invisible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Reflections on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urban transformation and contested space”,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International Journal of Urban and Regional Research,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36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(2)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 297-314, 2012.</w:t>
          </w:r>
        </w:p>
        <w:p w:rsidR="00BD00D1" w:rsidRPr="001E000C" w:rsidRDefault="009A746C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lastRenderedPageBreak/>
            <w:t>Saltoğlu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Yazgan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E.,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The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role of regime shifts in the term structure of interest rates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Further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evidence from an emerging market, emerging markets finance and trade”, </w:t>
          </w:r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M.E. Sharpe, Inc.,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48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(S5</w:t>
          </w:r>
          <w:proofErr w:type="gramStart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</w:t>
          </w:r>
          <w:proofErr w:type="gram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48-63,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9A746C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Tekin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R.,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Development aid, openness to trade and economic growth in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least developed countries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ootstrap panel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granger causality analysis”,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Procedia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-Social and Behavioral Sciences,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62</w:t>
          </w:r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716-721,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962266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Tekin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R.,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Economic growth, exports and foreign direct investment in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least developed c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ountries: A panel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granger causality analysis”,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Economic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Modelling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29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</w:t>
          </w:r>
          <w:r w:rsidR="007126A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868-878, 2012.</w:t>
          </w:r>
        </w:p>
        <w:p w:rsidR="00962266" w:rsidRPr="001E000C" w:rsidRDefault="00962266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4D070F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Tekin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R.,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Güloğlu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B.,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panel causality analysis of the relationship among research and development, innovation and economic growth in high income 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OECD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countries”,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Eurasian Economic Review,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(1)</w:t>
          </w:r>
          <w:r w:rsidR="007126A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32-47, 2012.</w:t>
          </w:r>
          <w:proofErr w:type="gramEnd"/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1D5B7A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Tekin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R.,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Güloğlu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Sarıdoğan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E.,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Economic determinants of technological progress in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G7 countries: A re-examination”,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Economics Letters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1D5B7A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Yakut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Çakar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Erus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Adaman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F.,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An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inquiry on introducing a minimum income scheme in 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Turkey: Alternating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between cost efficiency and poverty reduction”</w:t>
          </w:r>
          <w:r w:rsidR="007126A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European Social Policy,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22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</w:t>
          </w:r>
          <w:r w:rsidR="00A54DF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305-318,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CC513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Yalama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International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financial contagion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The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role of the UK”, </w:t>
          </w:r>
          <w:proofErr w:type="spellStart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Boğaziçi</w:t>
          </w:r>
          <w:proofErr w:type="spellEnd"/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Journal: Review of Social, Economic and Administrative Studies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 xml:space="preserve"> 26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(2)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BE3CC8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Yıldıran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L.,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Credit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card satisfaction and financial literacy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: Evidence from Turkey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Emerging Markets Finance and Trade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BD00D1" w:rsidRPr="00A54DF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48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(5) 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with G.G. Akın, A.F.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Aysan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S.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Özç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elik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 103-115, 2012.</w:t>
          </w:r>
        </w:p>
        <w:p w:rsidR="00BD00D1" w:rsidRPr="001E000C" w:rsidRDefault="00BD00D1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D00D1" w:rsidRPr="001E000C" w:rsidRDefault="00BA25D4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Yıldıran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L., Akın, G.,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Aysan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A., </w:t>
          </w:r>
          <w:proofErr w:type="spellStart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Göllü</w:t>
          </w:r>
          <w:proofErr w:type="spellEnd"/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G., “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Interaction </w:t>
          </w:r>
          <w:r w:rsidR="004B7C5E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between payment services and credit services in credit card markets</w:t>
          </w:r>
          <w:r w:rsidR="007126AC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 w:rsidR="00BD00D1"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Regulation and Competition in the Turkis</w:t>
          </w:r>
          <w:r w:rsidRPr="001E000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h Banking and Financial Markets, </w:t>
          </w:r>
          <w:r w:rsidR="000731D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T. </w:t>
          </w:r>
          <w:proofErr w:type="spellStart"/>
          <w:r w:rsidR="000731D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Çetin</w:t>
          </w:r>
          <w:proofErr w:type="spellEnd"/>
          <w:r w:rsidR="000731D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F. </w:t>
          </w:r>
          <w:proofErr w:type="spellStart"/>
          <w:r w:rsidR="000731D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Oğuz</w:t>
          </w:r>
          <w:proofErr w:type="spellEnd"/>
          <w:r w:rsidR="000731D0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(eds.), 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Nova Science Publishers</w:t>
          </w:r>
          <w:r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A, 163-175, 2012.</w:t>
          </w:r>
          <w:r w:rsidR="00BD00D1" w:rsidRPr="001E000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</w:p>
        <w:p w:rsidR="007126AC" w:rsidRPr="001E000C" w:rsidRDefault="007126AC" w:rsidP="001E000C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hAnsiTheme="majorHAnsi"/>
              <w:sz w:val="22"/>
              <w:szCs w:val="22"/>
            </w:rPr>
          </w:pPr>
        </w:p>
        <w:p w:rsidR="00EA45C9" w:rsidRDefault="00930647" w:rsidP="0068005B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>I</w:t>
          </w:r>
          <w:r w:rsidR="00AD7C3D">
            <w:rPr>
              <w:rFonts w:asciiTheme="majorHAnsi" w:hAnsiTheme="majorHAnsi"/>
              <w:color w:val="808080"/>
              <w:sz w:val="28"/>
              <w:szCs w:val="28"/>
            </w:rPr>
            <w:t>V</w:t>
          </w:r>
          <w:r>
            <w:rPr>
              <w:rFonts w:asciiTheme="majorHAnsi" w:hAnsiTheme="majorHAnsi"/>
              <w:color w:val="808080"/>
              <w:sz w:val="28"/>
              <w:szCs w:val="28"/>
            </w:rPr>
            <w:t>-</w:t>
          </w:r>
          <w:r w:rsidR="00EA45C9"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MERKEZDE YÜRÜTÜ</w:t>
          </w:r>
          <w:r w:rsid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LEN PROJELER VE RAPOR DÖNEMİNDE</w:t>
          </w:r>
        </w:p>
        <w:p w:rsidR="00930647" w:rsidRPr="00EA45C9" w:rsidRDefault="00EA45C9" w:rsidP="0068005B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 xml:space="preserve">      </w:t>
          </w:r>
          <w:r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 xml:space="preserve"> </w:t>
          </w:r>
          <w:r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TAMAMLANAN PROJELER</w:t>
          </w:r>
        </w:p>
        <w:p w:rsidR="00D331D3" w:rsidRPr="001E000C" w:rsidRDefault="00D331D3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930647" w:rsidRPr="001E000C" w:rsidRDefault="00930647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="003A302B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Social</w:t>
          </w:r>
          <w:proofErr w:type="spellEnd"/>
          <w:r w:rsidR="003A302B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Networks in </w:t>
          </w:r>
          <w:proofErr w:type="spellStart"/>
          <w:r w:rsidR="003A302B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the</w:t>
          </w:r>
          <w:proofErr w:type="spellEnd"/>
          <w:r w:rsidR="003A302B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3A302B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Labor</w:t>
          </w:r>
          <w:proofErr w:type="spellEnd"/>
          <w:r w:rsidR="003A302B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Market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 xml:space="preserve">   </w:t>
          </w:r>
        </w:p>
        <w:p w:rsidR="00930647" w:rsidRPr="001E000C" w:rsidRDefault="00930647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3A302B" w:rsidRPr="001E000C">
            <w:rPr>
              <w:rFonts w:asciiTheme="majorHAnsi" w:hAnsiTheme="majorHAnsi"/>
              <w:lang w:eastAsia="ko-KR"/>
            </w:rPr>
            <w:t>Tolga Umut Kuzubaş</w:t>
          </w:r>
        </w:p>
        <w:p w:rsidR="00930647" w:rsidRPr="001E000C" w:rsidRDefault="00930647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 xml:space="preserve">BAP </w:t>
          </w:r>
        </w:p>
        <w:p w:rsidR="00930647" w:rsidRPr="001E000C" w:rsidRDefault="00930647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222BC7" w:rsidRPr="001E000C">
            <w:rPr>
              <w:rFonts w:asciiTheme="majorHAnsi" w:hAnsiTheme="majorHAnsi"/>
              <w:lang w:eastAsia="ko-KR"/>
            </w:rPr>
            <w:t>2011</w:t>
          </w:r>
        </w:p>
        <w:p w:rsidR="00E563E0" w:rsidRDefault="00930647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Sonuçlandı</w:t>
          </w:r>
        </w:p>
        <w:p w:rsidR="0017573C" w:rsidRPr="001E000C" w:rsidRDefault="0017573C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hAnsiTheme="majorHAnsi"/>
              <w:lang w:eastAsia="ko-KR"/>
            </w:rPr>
          </w:pPr>
        </w:p>
        <w:p w:rsidR="00E563E0" w:rsidRPr="001E000C" w:rsidRDefault="00E563E0" w:rsidP="0017573C">
          <w:pPr>
            <w:widowControl w:val="0"/>
            <w:autoSpaceDE w:val="0"/>
            <w:autoSpaceDN w:val="0"/>
            <w:adjustRightInd w:val="0"/>
            <w:spacing w:after="0" w:line="28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="001D205C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Kayıtdış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ı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Ekonominin Nedenleri ve Etkileri: Teori, </w:t>
          </w:r>
        </w:p>
        <w:p w:rsidR="00E563E0" w:rsidRPr="001E000C" w:rsidRDefault="00E563E0" w:rsidP="0017573C">
          <w:pPr>
            <w:widowControl w:val="0"/>
            <w:autoSpaceDE w:val="0"/>
            <w:autoSpaceDN w:val="0"/>
            <w:adjustRightInd w:val="0"/>
            <w:spacing w:after="0" w:line="28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Tahminleme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ve </w:t>
          </w:r>
          <w:proofErr w:type="spellStart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Türkiye</w:t>
          </w:r>
          <w:proofErr w:type="spellEnd"/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Ekonomisi için Bir Değerlendirme</w:t>
          </w:r>
        </w:p>
        <w:p w:rsidR="00E563E0" w:rsidRPr="001E000C" w:rsidRDefault="00E563E0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Ceyhun Elgin</w:t>
          </w:r>
        </w:p>
        <w:p w:rsidR="00E563E0" w:rsidRPr="001E000C" w:rsidRDefault="00E563E0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1D205C" w:rsidRPr="001E000C">
            <w:rPr>
              <w:rFonts w:asciiTheme="majorHAnsi" w:hAnsiTheme="majorHAnsi"/>
              <w:lang w:eastAsia="ko-KR"/>
            </w:rPr>
            <w:t>TÜBİTAK</w:t>
          </w:r>
          <w:r w:rsidRPr="001E000C">
            <w:rPr>
              <w:rFonts w:asciiTheme="majorHAnsi" w:hAnsiTheme="majorHAnsi"/>
              <w:lang w:eastAsia="ko-KR"/>
            </w:rPr>
            <w:t xml:space="preserve"> </w:t>
          </w:r>
        </w:p>
        <w:p w:rsidR="00E563E0" w:rsidRPr="001E000C" w:rsidRDefault="00E563E0" w:rsidP="0017573C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1D205C" w:rsidRPr="001E000C">
            <w:rPr>
              <w:rFonts w:asciiTheme="majorHAnsi" w:hAnsiTheme="majorHAnsi"/>
              <w:lang w:eastAsia="ko-KR"/>
            </w:rPr>
            <w:t>2012</w:t>
          </w:r>
        </w:p>
        <w:p w:rsidR="00FA5565" w:rsidRPr="001E000C" w:rsidRDefault="00E563E0" w:rsidP="001B067F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1D205C" w:rsidRPr="001E000C">
            <w:rPr>
              <w:rFonts w:asciiTheme="majorHAnsi" w:hAnsiTheme="majorHAnsi"/>
              <w:lang w:eastAsia="ko-KR"/>
            </w:rPr>
            <w:t>Yürürlükte</w:t>
          </w:r>
        </w:p>
        <w:p w:rsidR="00CF7BDF" w:rsidRPr="001E000C" w:rsidRDefault="00CF7BDF" w:rsidP="0068005B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lastRenderedPageBreak/>
            <w:t>Proje Adı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Public</w:t>
          </w:r>
          <w:proofErr w:type="spellEnd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Debt</w:t>
          </w:r>
          <w:proofErr w:type="spellEnd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,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Sovereign</w:t>
          </w:r>
          <w:proofErr w:type="spellEnd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Default</w:t>
          </w:r>
          <w:proofErr w:type="spellEnd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Risk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and</w:t>
          </w:r>
          <w:proofErr w:type="spellEnd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Shadow</w:t>
          </w:r>
          <w:proofErr w:type="spellEnd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F45875"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Economy</w:t>
          </w:r>
          <w:proofErr w:type="spellEnd"/>
        </w:p>
        <w:p w:rsidR="00CF7BDF" w:rsidRPr="001E000C" w:rsidRDefault="00CF7BDF" w:rsidP="0068005B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Ceyhun Elgin</w:t>
          </w:r>
        </w:p>
        <w:p w:rsidR="00CF7BDF" w:rsidRPr="001E000C" w:rsidRDefault="00CF7BDF" w:rsidP="0068005B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 xml:space="preserve">BAP </w:t>
          </w:r>
        </w:p>
        <w:p w:rsidR="00CF7BDF" w:rsidRPr="001E000C" w:rsidRDefault="00CF7BDF" w:rsidP="0068005B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F45875" w:rsidRPr="001E000C">
            <w:rPr>
              <w:rFonts w:asciiTheme="majorHAnsi" w:hAnsiTheme="majorHAnsi"/>
              <w:lang w:eastAsia="ko-KR"/>
            </w:rPr>
            <w:t>2012</w:t>
          </w:r>
        </w:p>
        <w:p w:rsidR="00CF7BDF" w:rsidRDefault="00CF7BDF" w:rsidP="0068005B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F45875" w:rsidRPr="001E000C">
            <w:rPr>
              <w:rFonts w:asciiTheme="majorHAnsi" w:hAnsiTheme="majorHAnsi"/>
              <w:lang w:eastAsia="ko-KR"/>
            </w:rPr>
            <w:t>Yürürlükte</w:t>
          </w:r>
        </w:p>
        <w:p w:rsidR="00E619B6" w:rsidRDefault="00E619B6" w:rsidP="0068005B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E619B6" w:rsidRPr="001E000C" w:rsidRDefault="00E619B6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Fiscal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Policy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Informal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Economy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Over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Business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Cycle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: </w:t>
          </w:r>
        </w:p>
        <w:p w:rsidR="00E619B6" w:rsidRPr="001E000C" w:rsidRDefault="00E619B6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Turkey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and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>the</w:t>
          </w:r>
          <w:proofErr w:type="spellEnd"/>
          <w:r w:rsidRPr="001E000C">
            <w:rPr>
              <w:rFonts w:asciiTheme="majorHAnsi" w:hAnsiTheme="majorHAnsi"/>
              <w:b/>
              <w:bCs/>
              <w:color w:val="365F91" w:themeColor="accent1" w:themeShade="BF"/>
              <w:lang w:eastAsia="ko-KR"/>
            </w:rPr>
            <w:t xml:space="preserve"> EU</w:t>
          </w:r>
          <w:r w:rsidRPr="001E000C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</w:p>
        <w:p w:rsidR="00E619B6" w:rsidRPr="001E000C" w:rsidRDefault="00E619B6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Ceyhun Elgin</w:t>
          </w:r>
        </w:p>
        <w:p w:rsidR="00E619B6" w:rsidRPr="001E000C" w:rsidRDefault="00E619B6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 xml:space="preserve">BAP </w:t>
          </w:r>
        </w:p>
        <w:p w:rsidR="00E619B6" w:rsidRPr="001E000C" w:rsidRDefault="00E619B6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2011</w:t>
          </w:r>
        </w:p>
        <w:p w:rsidR="00E619B6" w:rsidRPr="001E000C" w:rsidRDefault="00E619B6" w:rsidP="00E619B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1E000C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1E000C">
            <w:rPr>
              <w:rFonts w:asciiTheme="majorHAnsi" w:hAnsiTheme="majorHAnsi"/>
              <w:lang w:eastAsia="ko-KR"/>
            </w:rPr>
            <w:t>Sonuçlandı</w:t>
          </w:r>
        </w:p>
        <w:p w:rsidR="00B343CF" w:rsidRPr="001E000C" w:rsidRDefault="00B343CF" w:rsidP="0068005B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TimesNewRomanPSMT"/>
              <w:color w:val="222222"/>
            </w:rPr>
          </w:pPr>
        </w:p>
        <w:p w:rsidR="00FD6094" w:rsidRDefault="00FD6094" w:rsidP="00FA5565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V</w:t>
          </w:r>
          <w:r w:rsidR="005C5429">
            <w:rPr>
              <w:rFonts w:asciiTheme="majorHAnsi" w:hAnsiTheme="majorHAnsi"/>
              <w:b/>
              <w:color w:val="808080"/>
              <w:sz w:val="28"/>
              <w:szCs w:val="28"/>
            </w:rPr>
            <w:t>-MERKEZ’İN 2013</w:t>
          </w:r>
          <w:r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YILI İÇİN YILLIK ÇALIŞMA PROGRAMI</w:t>
          </w:r>
        </w:p>
        <w:p w:rsidR="00505B5C" w:rsidRDefault="00505B5C" w:rsidP="00FA5565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</w:p>
        <w:p w:rsidR="005F3258" w:rsidRPr="000A26B4" w:rsidRDefault="005F3258" w:rsidP="005F3258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</w:pPr>
          <w:r w:rsidRPr="000A26B4"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  <w:t>Performans Değerlendirme Kriterleri</w:t>
          </w:r>
        </w:p>
        <w:tbl>
          <w:tblPr>
            <w:tblStyle w:val="AkKlavuz"/>
            <w:tblW w:w="0" w:type="auto"/>
            <w:tblLook w:val="04A0" w:firstRow="1" w:lastRow="0" w:firstColumn="1" w:lastColumn="0" w:noHBand="0" w:noVBand="1"/>
          </w:tblPr>
          <w:tblGrid>
            <w:gridCol w:w="4605"/>
            <w:gridCol w:w="4605"/>
          </w:tblGrid>
          <w:tr w:rsidR="005F3258" w:rsidRPr="000A26B4" w:rsidTr="00F369D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</w:tcPr>
              <w:p w:rsidR="005F3258" w:rsidRPr="000A26B4" w:rsidRDefault="005F3258" w:rsidP="00F369D1">
                <w:pPr>
                  <w:spacing w:line="300" w:lineRule="exact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0A26B4">
                  <w:rPr>
                    <w:color w:val="808080" w:themeColor="background1" w:themeShade="80"/>
                    <w:sz w:val="20"/>
                    <w:szCs w:val="20"/>
                    <w:lang w:eastAsia="ko-KR"/>
                  </w:rPr>
                  <w:t>Kriterler</w:t>
                </w:r>
              </w:p>
            </w:tc>
            <w:tc>
              <w:tcPr>
                <w:tcW w:w="4605" w:type="dxa"/>
              </w:tcPr>
              <w:p w:rsidR="005F3258" w:rsidRPr="000A26B4" w:rsidRDefault="005F3258" w:rsidP="00F369D1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0A26B4">
                  <w:rPr>
                    <w:color w:val="808080" w:themeColor="background1" w:themeShade="80"/>
                    <w:sz w:val="20"/>
                    <w:szCs w:val="20"/>
                    <w:lang w:eastAsia="ko-KR"/>
                  </w:rPr>
                  <w:t>Sayısal Hedef</w:t>
                </w:r>
              </w:p>
            </w:tc>
          </w:tr>
          <w:tr w:rsidR="005F3258" w:rsidTr="00F369D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5F3258" w:rsidRPr="000A26B4" w:rsidRDefault="00CE3257" w:rsidP="00F369D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Konferans</w:t>
                </w:r>
              </w:p>
            </w:tc>
            <w:tc>
              <w:tcPr>
                <w:tcW w:w="4605" w:type="dxa"/>
                <w:vAlign w:val="center"/>
              </w:tcPr>
              <w:p w:rsidR="005F3258" w:rsidRPr="000A26B4" w:rsidRDefault="00CE3257" w:rsidP="00F369D1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>
                  <w:rPr>
                    <w:rFonts w:asciiTheme="majorHAnsi" w:hAnsiTheme="majorHAnsi"/>
                    <w:bCs/>
                    <w:lang w:eastAsia="ko-KR"/>
                  </w:rPr>
                  <w:t>1</w:t>
                </w:r>
              </w:p>
            </w:tc>
          </w:tr>
          <w:tr w:rsidR="005F3258" w:rsidTr="00F369D1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5F3258" w:rsidRPr="000A26B4" w:rsidRDefault="00CE3257" w:rsidP="00F369D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proofErr w:type="spellStart"/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Çalıştay</w:t>
                </w:r>
                <w:proofErr w:type="spellEnd"/>
              </w:p>
            </w:tc>
            <w:tc>
              <w:tcPr>
                <w:tcW w:w="4605" w:type="dxa"/>
                <w:vAlign w:val="center"/>
              </w:tcPr>
              <w:p w:rsidR="005F3258" w:rsidRPr="000A26B4" w:rsidRDefault="00CE3257" w:rsidP="00F369D1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>
                  <w:rPr>
                    <w:rFonts w:asciiTheme="majorHAnsi" w:hAnsiTheme="majorHAnsi"/>
                    <w:bCs/>
                    <w:lang w:eastAsia="ko-KR"/>
                  </w:rPr>
                  <w:t>1</w:t>
                </w:r>
                <w:r w:rsidR="005F3258" w:rsidRPr="000A26B4">
                  <w:rPr>
                    <w:rFonts w:asciiTheme="majorHAnsi" w:hAnsiTheme="majorHAnsi"/>
                    <w:bCs/>
                    <w:lang w:eastAsia="ko-KR"/>
                  </w:rPr>
                  <w:t xml:space="preserve"> </w:t>
                </w:r>
              </w:p>
            </w:tc>
          </w:tr>
          <w:tr w:rsidR="005F3258" w:rsidTr="00F369D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5F3258" w:rsidRPr="000A26B4" w:rsidRDefault="001143FC" w:rsidP="00F369D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Araştırma Projesi</w:t>
                </w:r>
              </w:p>
            </w:tc>
            <w:tc>
              <w:tcPr>
                <w:tcW w:w="4605" w:type="dxa"/>
                <w:vAlign w:val="center"/>
              </w:tcPr>
              <w:p w:rsidR="005F3258" w:rsidRPr="000A26B4" w:rsidRDefault="001143FC" w:rsidP="001143FC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>
                  <w:rPr>
                    <w:rFonts w:asciiTheme="majorHAnsi" w:hAnsiTheme="majorHAnsi"/>
                    <w:bCs/>
                    <w:lang w:eastAsia="ko-KR"/>
                  </w:rPr>
                  <w:t>6</w:t>
                </w:r>
                <w:r w:rsidR="005F3258" w:rsidRPr="000A26B4">
                  <w:rPr>
                    <w:rFonts w:asciiTheme="majorHAnsi" w:hAnsiTheme="majorHAnsi"/>
                    <w:bCs/>
                    <w:lang w:eastAsia="ko-KR"/>
                  </w:rPr>
                  <w:t xml:space="preserve"> </w:t>
                </w:r>
              </w:p>
            </w:tc>
          </w:tr>
          <w:tr w:rsidR="005F3258" w:rsidTr="00F369D1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5F3258" w:rsidRPr="000A26B4" w:rsidRDefault="001143FC" w:rsidP="00F369D1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Makale</w:t>
                </w:r>
              </w:p>
            </w:tc>
            <w:tc>
              <w:tcPr>
                <w:tcW w:w="4605" w:type="dxa"/>
                <w:vAlign w:val="center"/>
              </w:tcPr>
              <w:p w:rsidR="005F3258" w:rsidRPr="000A26B4" w:rsidRDefault="001143FC" w:rsidP="001143FC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>
                  <w:rPr>
                    <w:rFonts w:asciiTheme="majorHAnsi" w:hAnsiTheme="majorHAnsi"/>
                    <w:bCs/>
                    <w:lang w:eastAsia="ko-KR"/>
                  </w:rPr>
                  <w:t>10</w:t>
                </w:r>
              </w:p>
            </w:tc>
          </w:tr>
        </w:tbl>
        <w:p w:rsidR="00505B5C" w:rsidRDefault="00505B5C" w:rsidP="00FA5565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</w:p>
        <w:p w:rsidR="00486CB3" w:rsidRDefault="00546671" w:rsidP="00546671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V</w:t>
          </w:r>
          <w:r w:rsidR="003405F9">
            <w:rPr>
              <w:rFonts w:asciiTheme="majorHAnsi" w:hAnsiTheme="majorHAnsi"/>
              <w:b/>
              <w:color w:val="808080"/>
              <w:sz w:val="28"/>
              <w:szCs w:val="28"/>
            </w:rPr>
            <w:t>I</w:t>
          </w: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-MERKEZ’İN 2012 </w:t>
          </w:r>
          <w:r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>YILI İÇİN BELİRTMEK İSTEDİĞİ BAŞKA</w:t>
          </w:r>
        </w:p>
        <w:p w:rsidR="00546671" w:rsidRDefault="00486CB3" w:rsidP="00546671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    </w:t>
          </w:r>
          <w:r w:rsidR="00546671"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FAALİYETLER / BAŞARILAR</w:t>
          </w:r>
        </w:p>
        <w:p w:rsidR="00546671" w:rsidRDefault="00546671" w:rsidP="003E236E">
          <w:pPr>
            <w:spacing w:after="0" w:line="300" w:lineRule="exact"/>
          </w:pPr>
        </w:p>
        <w:p w:rsidR="00C00FEE" w:rsidRDefault="007878B9" w:rsidP="00EB1159">
          <w:pPr>
            <w:pStyle w:val="ListeParagraf"/>
            <w:numPr>
              <w:ilvl w:val="0"/>
              <w:numId w:val="2"/>
            </w:numPr>
            <w:spacing w:after="0" w:line="300" w:lineRule="exact"/>
            <w:ind w:left="714" w:hanging="357"/>
            <w:outlineLvl w:val="0"/>
            <w:rPr>
              <w:rFonts w:asciiTheme="majorHAnsi" w:hAnsiTheme="majorHAnsi"/>
              <w:lang w:eastAsia="ko-KR"/>
            </w:rPr>
          </w:pPr>
          <w:r w:rsidRPr="00C00FEE">
            <w:rPr>
              <w:rFonts w:asciiTheme="majorHAnsi" w:hAnsiTheme="majorHAnsi"/>
              <w:lang w:eastAsia="ko-KR"/>
            </w:rPr>
            <w:t xml:space="preserve">2012 yılı boyunca </w:t>
          </w:r>
          <w:r w:rsidR="001B067F" w:rsidRPr="00C00FEE">
            <w:rPr>
              <w:rFonts w:asciiTheme="majorHAnsi" w:hAnsiTheme="majorHAnsi"/>
              <w:lang w:eastAsia="ko-KR"/>
            </w:rPr>
            <w:t xml:space="preserve">ekonomi ve ekonometri </w:t>
          </w:r>
          <w:r w:rsidRPr="00C00FEE">
            <w:rPr>
              <w:rFonts w:asciiTheme="majorHAnsi" w:hAnsiTheme="majorHAnsi"/>
              <w:lang w:eastAsia="ko-KR"/>
            </w:rPr>
            <w:t>teorisi ve uygulamaları alanlarında çalışan araştırıcılar davet edilmiş, üniversitemizdeki öğrenci ve genç araştırıcıların bu kişilerle ve çalışmalarıyla temasa geçmeleri sağlanmıştır.  Merkez,  BÜ Ekonomi ve diğer bölümlerden öğretim üyeleriyle diğer üniversite</w:t>
          </w:r>
          <w:bookmarkStart w:id="0" w:name="_GoBack"/>
          <w:bookmarkEnd w:id="0"/>
          <w:r w:rsidRPr="00C00FEE">
            <w:rPr>
              <w:rFonts w:asciiTheme="majorHAnsi" w:hAnsiTheme="majorHAnsi"/>
              <w:lang w:eastAsia="ko-KR"/>
            </w:rPr>
            <w:t xml:space="preserve"> ve kurumlar mensubu üyelerini bu çer</w:t>
          </w:r>
          <w:r w:rsidR="00C00FEE">
            <w:rPr>
              <w:rFonts w:asciiTheme="majorHAnsi" w:hAnsiTheme="majorHAnsi"/>
              <w:lang w:eastAsia="ko-KR"/>
            </w:rPr>
            <w:t>çevede bir araya getirmiştir.</w:t>
          </w:r>
        </w:p>
        <w:p w:rsidR="00C00FEE" w:rsidRDefault="00C00FEE" w:rsidP="003E236E">
          <w:pPr>
            <w:pStyle w:val="ListeParagraf"/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</w:p>
        <w:p w:rsidR="00C00FEE" w:rsidRDefault="007878B9" w:rsidP="003E236E">
          <w:pPr>
            <w:pStyle w:val="ListeParagraf"/>
            <w:numPr>
              <w:ilvl w:val="0"/>
              <w:numId w:val="2"/>
            </w:numPr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  <w:r w:rsidRPr="00C00FEE">
            <w:rPr>
              <w:rFonts w:asciiTheme="majorHAnsi" w:hAnsiTheme="majorHAnsi"/>
              <w:lang w:eastAsia="ko-KR"/>
            </w:rPr>
            <w:t>Merkez bünyesinde yürütülen araştırmaların yanında merkez üyelerinin 2013 için yeni proje teklifleri hazırlamaları teşvik edilmiş ve kendilerine bu yönde destek verilmiştir.</w:t>
          </w:r>
        </w:p>
        <w:p w:rsidR="00C00FEE" w:rsidRPr="00C00FEE" w:rsidRDefault="00C00FEE" w:rsidP="003E236E">
          <w:pPr>
            <w:pStyle w:val="ListeParagraf"/>
            <w:spacing w:after="0"/>
            <w:rPr>
              <w:rFonts w:asciiTheme="majorHAnsi" w:hAnsiTheme="majorHAnsi"/>
              <w:lang w:eastAsia="ko-KR"/>
            </w:rPr>
          </w:pPr>
        </w:p>
        <w:p w:rsidR="00C00FEE" w:rsidRDefault="007878B9" w:rsidP="003E236E">
          <w:pPr>
            <w:pStyle w:val="ListeParagraf"/>
            <w:numPr>
              <w:ilvl w:val="0"/>
              <w:numId w:val="2"/>
            </w:numPr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  <w:r w:rsidRPr="00C00FEE">
            <w:rPr>
              <w:rFonts w:asciiTheme="majorHAnsi" w:hAnsiTheme="majorHAnsi"/>
              <w:lang w:eastAsia="ko-KR"/>
            </w:rPr>
            <w:t>Merkez daha önce Boğaziçi Üniversitesi’nde öğrenim gördükten sonra yurtdışına iktisat teorisi alanında doktora yapmaya gitmiş olan öğrencileri Türkiye’de bulundukları sürede misafir</w:t>
          </w:r>
          <w:r w:rsidR="00C00FEE">
            <w:rPr>
              <w:rFonts w:asciiTheme="majorHAnsi" w:hAnsiTheme="majorHAnsi"/>
              <w:lang w:eastAsia="ko-KR"/>
            </w:rPr>
            <w:t xml:space="preserve"> </w:t>
          </w:r>
          <w:r w:rsidRPr="00C00FEE">
            <w:rPr>
              <w:rFonts w:asciiTheme="majorHAnsi" w:hAnsiTheme="majorHAnsi"/>
              <w:lang w:eastAsia="ko-KR"/>
            </w:rPr>
            <w:t>etmekte, çalışmalarını tartışacakları ve</w:t>
          </w:r>
          <w:r w:rsidR="00C00FEE">
            <w:rPr>
              <w:rFonts w:asciiTheme="majorHAnsi" w:hAnsiTheme="majorHAnsi"/>
              <w:lang w:eastAsia="ko-KR"/>
            </w:rPr>
            <w:t xml:space="preserve"> sunacakları ortam sunmaktadır.</w:t>
          </w:r>
        </w:p>
        <w:p w:rsidR="00C00FEE" w:rsidRPr="00C00FEE" w:rsidRDefault="00C00FEE" w:rsidP="003E236E">
          <w:pPr>
            <w:pStyle w:val="ListeParagraf"/>
            <w:spacing w:after="0"/>
            <w:rPr>
              <w:rFonts w:asciiTheme="majorHAnsi" w:hAnsiTheme="majorHAnsi"/>
              <w:lang w:eastAsia="ko-KR"/>
            </w:rPr>
          </w:pPr>
        </w:p>
        <w:p w:rsidR="007878B9" w:rsidRPr="00C00FEE" w:rsidRDefault="007878B9" w:rsidP="003E236E">
          <w:pPr>
            <w:pStyle w:val="ListeParagraf"/>
            <w:numPr>
              <w:ilvl w:val="0"/>
              <w:numId w:val="2"/>
            </w:numPr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  <w:r w:rsidRPr="00C00FEE">
            <w:rPr>
              <w:rFonts w:asciiTheme="majorHAnsi" w:hAnsiTheme="majorHAnsi"/>
              <w:lang w:eastAsia="ko-KR"/>
            </w:rPr>
            <w:t>Bunun yanında Merkez her sene düzenli olarak ülkemizi ve dünyayı ilgilendiren bir konu hakkında uluslararası bir konferans düzenlemekte ve bu konferansa kat</w:t>
          </w:r>
          <w:r w:rsidR="00C00FEE">
            <w:rPr>
              <w:rFonts w:asciiTheme="majorHAnsi" w:hAnsiTheme="majorHAnsi"/>
              <w:lang w:eastAsia="ko-KR"/>
            </w:rPr>
            <w:t xml:space="preserve">ılan yabancı ekonomistlerin </w:t>
          </w:r>
          <w:r w:rsidRPr="00C00FEE">
            <w:rPr>
              <w:rFonts w:asciiTheme="majorHAnsi" w:hAnsiTheme="majorHAnsi"/>
              <w:lang w:eastAsia="ko-KR"/>
            </w:rPr>
            <w:t>BÜ akademisyenleri ve öğrencileri ile temasa geçmesini teşvik etmektedir.</w:t>
          </w:r>
        </w:p>
        <w:p w:rsidR="007878B9" w:rsidRPr="00220688" w:rsidRDefault="007878B9" w:rsidP="003E236E">
          <w:pPr>
            <w:spacing w:after="0"/>
            <w:rPr>
              <w:rFonts w:ascii="Trebuchet MS" w:hAnsi="Trebuchet MS"/>
              <w:sz w:val="20"/>
              <w:szCs w:val="20"/>
            </w:rPr>
          </w:pPr>
        </w:p>
        <w:p w:rsidR="000D6930" w:rsidRPr="003E236E" w:rsidRDefault="00C25962" w:rsidP="003E236E">
          <w:pPr>
            <w:spacing w:after="0"/>
            <w:rPr>
              <w:rFonts w:ascii="Trebuchet MS" w:hAnsi="Trebuchet MS"/>
              <w:sz w:val="20"/>
              <w:szCs w:val="20"/>
            </w:rPr>
          </w:pPr>
        </w:p>
      </w:sdtContent>
    </w:sdt>
    <w:sectPr w:rsidR="000D6930" w:rsidRPr="003E236E" w:rsidSect="00EC04D2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62" w:rsidRDefault="00C25962" w:rsidP="0011637A">
      <w:pPr>
        <w:spacing w:after="0" w:line="240" w:lineRule="auto"/>
      </w:pPr>
      <w:r>
        <w:separator/>
      </w:r>
    </w:p>
  </w:endnote>
  <w:endnote w:type="continuationSeparator" w:id="0">
    <w:p w:rsidR="00C25962" w:rsidRDefault="00C25962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62" w:rsidRDefault="00C25962" w:rsidP="0011637A">
      <w:pPr>
        <w:spacing w:after="0" w:line="240" w:lineRule="auto"/>
      </w:pPr>
      <w:r>
        <w:separator/>
      </w:r>
    </w:p>
  </w:footnote>
  <w:footnote w:type="continuationSeparator" w:id="0">
    <w:p w:rsidR="00C25962" w:rsidRDefault="00C25962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EC04D2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C04D2" w:rsidRDefault="008463F0" w:rsidP="008463F0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Makro Ekonomi ve Uygulamalı Ekonometri U</w:t>
              </w:r>
              <w:r w:rsidR="00EC04D2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C04D2" w:rsidRDefault="00EC04D2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11637A" w:rsidRDefault="001163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6.8pt;height:9pt" o:bullet="t">
        <v:imagedata r:id="rId1" o:title="BD21333_"/>
      </v:shape>
    </w:pict>
  </w:numPicBullet>
  <w:numPicBullet w:numPicBulletId="1">
    <w:pict>
      <v:shape id="_x0000_i1052" type="#_x0000_t75" style="width:11.4pt;height:11.4pt" o:bullet="t">
        <v:imagedata r:id="rId2" o:title="msoFEF9"/>
      </v:shape>
    </w:pict>
  </w:numPicBullet>
  <w:numPicBullet w:numPicBulletId="2">
    <w:pict>
      <v:shape id="_x0000_i1053" type="#_x0000_t75" style="width:11.4pt;height:11.4pt" o:bullet="t">
        <v:imagedata r:id="rId3" o:title="BD14513_"/>
      </v:shape>
    </w:pict>
  </w:numPicBullet>
  <w:numPicBullet w:numPicBulletId="3">
    <w:pict>
      <v:shape id="_x0000_i1054" type="#_x0000_t75" style="width:11.4pt;height:11.4pt" o:bullet="t">
        <v:imagedata r:id="rId4" o:title="j0115864"/>
      </v:shape>
    </w:pict>
  </w:numPicBullet>
  <w:numPicBullet w:numPicBulletId="4">
    <w:pict>
      <v:shape id="_x0000_i1055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5D68BAB4"/>
    <w:lvl w:ilvl="0" w:tplc="7F30CB82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271CC"/>
    <w:multiLevelType w:val="hybridMultilevel"/>
    <w:tmpl w:val="ED86D5D6"/>
    <w:lvl w:ilvl="0" w:tplc="051AF8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164AD"/>
    <w:rsid w:val="000301A8"/>
    <w:rsid w:val="000731D0"/>
    <w:rsid w:val="000904F3"/>
    <w:rsid w:val="00092B39"/>
    <w:rsid w:val="000975A1"/>
    <w:rsid w:val="000A26B4"/>
    <w:rsid w:val="000A5614"/>
    <w:rsid w:val="000B4B44"/>
    <w:rsid w:val="000B5E93"/>
    <w:rsid w:val="000C031B"/>
    <w:rsid w:val="000C477A"/>
    <w:rsid w:val="000C4996"/>
    <w:rsid w:val="000D6930"/>
    <w:rsid w:val="00104784"/>
    <w:rsid w:val="001143FC"/>
    <w:rsid w:val="0011637A"/>
    <w:rsid w:val="0012262E"/>
    <w:rsid w:val="0014353B"/>
    <w:rsid w:val="001579A2"/>
    <w:rsid w:val="001579BE"/>
    <w:rsid w:val="00165AB1"/>
    <w:rsid w:val="001661D6"/>
    <w:rsid w:val="001679DC"/>
    <w:rsid w:val="0017573C"/>
    <w:rsid w:val="001A7150"/>
    <w:rsid w:val="001A73EB"/>
    <w:rsid w:val="001A7A1A"/>
    <w:rsid w:val="001B067F"/>
    <w:rsid w:val="001D205C"/>
    <w:rsid w:val="001D4A37"/>
    <w:rsid w:val="001D5599"/>
    <w:rsid w:val="001D5B7A"/>
    <w:rsid w:val="001E000C"/>
    <w:rsid w:val="001E0C83"/>
    <w:rsid w:val="001F4317"/>
    <w:rsid w:val="00220E7A"/>
    <w:rsid w:val="00220FC1"/>
    <w:rsid w:val="00221F1F"/>
    <w:rsid w:val="00222BC7"/>
    <w:rsid w:val="002245FF"/>
    <w:rsid w:val="002638BB"/>
    <w:rsid w:val="00292F93"/>
    <w:rsid w:val="002A575B"/>
    <w:rsid w:val="002A594D"/>
    <w:rsid w:val="002C2EE0"/>
    <w:rsid w:val="002C43F9"/>
    <w:rsid w:val="002E3D4F"/>
    <w:rsid w:val="002F0A75"/>
    <w:rsid w:val="002F418A"/>
    <w:rsid w:val="002F4378"/>
    <w:rsid w:val="003054F6"/>
    <w:rsid w:val="003405F9"/>
    <w:rsid w:val="003A10A5"/>
    <w:rsid w:val="003A302B"/>
    <w:rsid w:val="003C0041"/>
    <w:rsid w:val="003C085E"/>
    <w:rsid w:val="003D107F"/>
    <w:rsid w:val="003D7D6C"/>
    <w:rsid w:val="003E015E"/>
    <w:rsid w:val="003E236E"/>
    <w:rsid w:val="003E59B5"/>
    <w:rsid w:val="003F1B16"/>
    <w:rsid w:val="003F5E6A"/>
    <w:rsid w:val="00412AC5"/>
    <w:rsid w:val="00413460"/>
    <w:rsid w:val="00415308"/>
    <w:rsid w:val="004161FF"/>
    <w:rsid w:val="004344E3"/>
    <w:rsid w:val="00440A3C"/>
    <w:rsid w:val="004418B1"/>
    <w:rsid w:val="00445F7B"/>
    <w:rsid w:val="004506D9"/>
    <w:rsid w:val="00461263"/>
    <w:rsid w:val="004644DB"/>
    <w:rsid w:val="00481E3F"/>
    <w:rsid w:val="00486CB3"/>
    <w:rsid w:val="004A44E7"/>
    <w:rsid w:val="004A755E"/>
    <w:rsid w:val="004B47FB"/>
    <w:rsid w:val="004B7C5E"/>
    <w:rsid w:val="004C7753"/>
    <w:rsid w:val="004D070F"/>
    <w:rsid w:val="00505B5C"/>
    <w:rsid w:val="00512097"/>
    <w:rsid w:val="00526DFC"/>
    <w:rsid w:val="00546671"/>
    <w:rsid w:val="00551CEC"/>
    <w:rsid w:val="00587706"/>
    <w:rsid w:val="005927FD"/>
    <w:rsid w:val="005A2061"/>
    <w:rsid w:val="005A6B16"/>
    <w:rsid w:val="005B55EB"/>
    <w:rsid w:val="005C5429"/>
    <w:rsid w:val="005C7247"/>
    <w:rsid w:val="005D0F85"/>
    <w:rsid w:val="005D1C01"/>
    <w:rsid w:val="005D1DA2"/>
    <w:rsid w:val="005F01C0"/>
    <w:rsid w:val="005F3258"/>
    <w:rsid w:val="00613408"/>
    <w:rsid w:val="006375B9"/>
    <w:rsid w:val="00663721"/>
    <w:rsid w:val="0068005B"/>
    <w:rsid w:val="006833CB"/>
    <w:rsid w:val="00690F11"/>
    <w:rsid w:val="00697EC4"/>
    <w:rsid w:val="006A4724"/>
    <w:rsid w:val="006E4865"/>
    <w:rsid w:val="007126AC"/>
    <w:rsid w:val="00713D5A"/>
    <w:rsid w:val="0071789C"/>
    <w:rsid w:val="007203A0"/>
    <w:rsid w:val="00722A80"/>
    <w:rsid w:val="0072576A"/>
    <w:rsid w:val="00726D18"/>
    <w:rsid w:val="00731B19"/>
    <w:rsid w:val="00732EF6"/>
    <w:rsid w:val="00734D41"/>
    <w:rsid w:val="00740597"/>
    <w:rsid w:val="00741831"/>
    <w:rsid w:val="007517D7"/>
    <w:rsid w:val="00772C31"/>
    <w:rsid w:val="00774EB3"/>
    <w:rsid w:val="0078162C"/>
    <w:rsid w:val="007878B9"/>
    <w:rsid w:val="00796B56"/>
    <w:rsid w:val="007A2702"/>
    <w:rsid w:val="007A41B6"/>
    <w:rsid w:val="007A46B3"/>
    <w:rsid w:val="007B13EA"/>
    <w:rsid w:val="007B6522"/>
    <w:rsid w:val="007B6BAE"/>
    <w:rsid w:val="007D26B3"/>
    <w:rsid w:val="008329E9"/>
    <w:rsid w:val="008345E1"/>
    <w:rsid w:val="008362FC"/>
    <w:rsid w:val="00841E44"/>
    <w:rsid w:val="008463F0"/>
    <w:rsid w:val="008550F5"/>
    <w:rsid w:val="008733C6"/>
    <w:rsid w:val="00886C26"/>
    <w:rsid w:val="00887E8C"/>
    <w:rsid w:val="008A45D4"/>
    <w:rsid w:val="008D73DD"/>
    <w:rsid w:val="00900676"/>
    <w:rsid w:val="00922CD9"/>
    <w:rsid w:val="00924FC0"/>
    <w:rsid w:val="00926757"/>
    <w:rsid w:val="00930647"/>
    <w:rsid w:val="00942007"/>
    <w:rsid w:val="009542E8"/>
    <w:rsid w:val="00956E5E"/>
    <w:rsid w:val="00957F18"/>
    <w:rsid w:val="00962266"/>
    <w:rsid w:val="009719D0"/>
    <w:rsid w:val="00974953"/>
    <w:rsid w:val="009750D8"/>
    <w:rsid w:val="00980E57"/>
    <w:rsid w:val="009817A8"/>
    <w:rsid w:val="009A2BA3"/>
    <w:rsid w:val="009A3C99"/>
    <w:rsid w:val="009A4DA0"/>
    <w:rsid w:val="009A746C"/>
    <w:rsid w:val="009C51DC"/>
    <w:rsid w:val="009C60DA"/>
    <w:rsid w:val="009D1B9F"/>
    <w:rsid w:val="009E417B"/>
    <w:rsid w:val="009E6396"/>
    <w:rsid w:val="009F6C79"/>
    <w:rsid w:val="00A45D4A"/>
    <w:rsid w:val="00A51638"/>
    <w:rsid w:val="00A54DFE"/>
    <w:rsid w:val="00A55F05"/>
    <w:rsid w:val="00A66A26"/>
    <w:rsid w:val="00A723B6"/>
    <w:rsid w:val="00A75821"/>
    <w:rsid w:val="00A80DC1"/>
    <w:rsid w:val="00AB1E10"/>
    <w:rsid w:val="00AB49D9"/>
    <w:rsid w:val="00AC1175"/>
    <w:rsid w:val="00AD7C3D"/>
    <w:rsid w:val="00AE119E"/>
    <w:rsid w:val="00AF1823"/>
    <w:rsid w:val="00AF1FBB"/>
    <w:rsid w:val="00B0283D"/>
    <w:rsid w:val="00B254FC"/>
    <w:rsid w:val="00B33187"/>
    <w:rsid w:val="00B343CF"/>
    <w:rsid w:val="00B3488C"/>
    <w:rsid w:val="00B5644F"/>
    <w:rsid w:val="00B6263A"/>
    <w:rsid w:val="00B6488C"/>
    <w:rsid w:val="00B90C23"/>
    <w:rsid w:val="00B91DCC"/>
    <w:rsid w:val="00B953CA"/>
    <w:rsid w:val="00BA25D4"/>
    <w:rsid w:val="00BA6693"/>
    <w:rsid w:val="00BB05C0"/>
    <w:rsid w:val="00BB0E8B"/>
    <w:rsid w:val="00BC3E7A"/>
    <w:rsid w:val="00BC430A"/>
    <w:rsid w:val="00BC52A9"/>
    <w:rsid w:val="00BC7485"/>
    <w:rsid w:val="00BD00D1"/>
    <w:rsid w:val="00BE1F3C"/>
    <w:rsid w:val="00BE3CC8"/>
    <w:rsid w:val="00BE6881"/>
    <w:rsid w:val="00C00FEE"/>
    <w:rsid w:val="00C0405C"/>
    <w:rsid w:val="00C12AA2"/>
    <w:rsid w:val="00C25962"/>
    <w:rsid w:val="00C25B48"/>
    <w:rsid w:val="00C629FD"/>
    <w:rsid w:val="00C81AC6"/>
    <w:rsid w:val="00C93AAB"/>
    <w:rsid w:val="00CC0F3B"/>
    <w:rsid w:val="00CC5131"/>
    <w:rsid w:val="00CE3257"/>
    <w:rsid w:val="00CF7BDF"/>
    <w:rsid w:val="00D07FC0"/>
    <w:rsid w:val="00D14E68"/>
    <w:rsid w:val="00D2270C"/>
    <w:rsid w:val="00D27225"/>
    <w:rsid w:val="00D331D3"/>
    <w:rsid w:val="00D351CB"/>
    <w:rsid w:val="00D53190"/>
    <w:rsid w:val="00D70FA0"/>
    <w:rsid w:val="00D8623B"/>
    <w:rsid w:val="00DB0C7E"/>
    <w:rsid w:val="00DB7FA4"/>
    <w:rsid w:val="00DC1838"/>
    <w:rsid w:val="00DC6D97"/>
    <w:rsid w:val="00DD6E30"/>
    <w:rsid w:val="00DE2942"/>
    <w:rsid w:val="00E50471"/>
    <w:rsid w:val="00E563E0"/>
    <w:rsid w:val="00E56932"/>
    <w:rsid w:val="00E619B6"/>
    <w:rsid w:val="00E61D9B"/>
    <w:rsid w:val="00E63517"/>
    <w:rsid w:val="00E72B4D"/>
    <w:rsid w:val="00E95E6B"/>
    <w:rsid w:val="00EA1E79"/>
    <w:rsid w:val="00EA45C9"/>
    <w:rsid w:val="00EB1159"/>
    <w:rsid w:val="00EB50DD"/>
    <w:rsid w:val="00EB63BF"/>
    <w:rsid w:val="00EB668B"/>
    <w:rsid w:val="00EC04D2"/>
    <w:rsid w:val="00EC2C1C"/>
    <w:rsid w:val="00EE5C94"/>
    <w:rsid w:val="00EF0C2A"/>
    <w:rsid w:val="00EF17A7"/>
    <w:rsid w:val="00F02B8C"/>
    <w:rsid w:val="00F04DE9"/>
    <w:rsid w:val="00F132FD"/>
    <w:rsid w:val="00F17145"/>
    <w:rsid w:val="00F45875"/>
    <w:rsid w:val="00F46A22"/>
    <w:rsid w:val="00F755F1"/>
    <w:rsid w:val="00F96B5E"/>
    <w:rsid w:val="00FA5565"/>
    <w:rsid w:val="00FB1075"/>
    <w:rsid w:val="00FB7E99"/>
    <w:rsid w:val="00FC5DD6"/>
    <w:rsid w:val="00FD3866"/>
    <w:rsid w:val="00FD6094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rsid w:val="00481E3F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styleId="Gl">
    <w:name w:val="Strong"/>
    <w:uiPriority w:val="22"/>
    <w:qFormat/>
    <w:rsid w:val="00740597"/>
    <w:rPr>
      <w:b/>
      <w:bCs/>
    </w:rPr>
  </w:style>
  <w:style w:type="paragraph" w:styleId="Kaynaka">
    <w:name w:val="Bibliography"/>
    <w:basedOn w:val="Normal"/>
    <w:next w:val="Normal"/>
    <w:uiPriority w:val="37"/>
    <w:unhideWhenUsed/>
    <w:rsid w:val="00BE1F3C"/>
    <w:pPr>
      <w:spacing w:after="0" w:line="360" w:lineRule="auto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Alp</b:Tag>
    <b:SourceType>JournalArticle</b:SourceType>
    <b:Guid>{1ED38A0C-EB93-4BC2-9F9A-1A2A53AB6D89}</b:Guid>
    <b:LCID>uz-Cyrl-UZ</b:LCID>
    <b:Author>
      <b:Author>
        <b:NameList>
          <b:Person>
            <b:Last>Alper</b:Last>
            <b:First>E.</b:First>
          </b:Person>
          <b:Person>
            <b:Last>Fendoğlu</b:Last>
            <b:First>S.</b:First>
          </b:Person>
          <b:Person>
            <b:Last>Saltoğlu</b:Last>
            <b:First>B</b:First>
          </b:Person>
        </b:NameList>
      </b:Author>
    </b:Author>
    <b:Title>MIDAS Volatility Forecast Performance Under Market Stress: Evidence from Emerging Stock Markets</b:Title>
    <b:JournalName>Economics Letters, Elsevier, vol. 117(2)</b:JournalName>
    <b:Year>2012</b:Year>
    <b:Pages>528-532</b:Pages>
    <b:RefOrder>1</b:RefOrder>
  </b:Source>
  <b:Source>
    <b:Tag>Sal12</b:Tag>
    <b:SourceType>JournalArticle</b:SourceType>
    <b:Guid>{0490DBD3-AECE-48E9-8966-4E50A97DF4B7}</b:Guid>
    <b:LCID>uz-Cyrl-UZ</b:LCID>
    <b:Author>
      <b:Author>
        <b:NameList>
          <b:Person>
            <b:Last>Saltoğlu</b:Last>
            <b:First>B.</b:First>
          </b:Person>
          <b:Person>
            <b:Last>Yazgan</b:Last>
            <b:First>E.</b:First>
          </b:Person>
        </b:NameList>
      </b:Author>
    </b:Author>
    <b:Title>The Role of Regime Shifts in the Term Structure of Interest Rates: Further Evidence from an Emerging Market, Emerging Markets Finance and Trade</b:Title>
    <b:JournalName>M.E. Sharpe, Inc., vol.48(S5)</b:JournalName>
    <b:Year>2012</b:Year>
    <b:Pages>48-63</b:Pages>
    <b:RefOrder>2</b:RefOrder>
  </b:Source>
  <b:Source>
    <b:Tag>Elg12</b:Tag>
    <b:SourceType>JournalArticle</b:SourceType>
    <b:Guid>{D8B9640D-CF2C-4CDF-8A75-4639746C1E88}</b:Guid>
    <b:LCID>uz-Cyrl-UZ</b:LCID>
    <b:Author>
      <b:Author>
        <b:NameList>
          <b:Person>
            <b:Last>Elgin</b:Last>
            <b:First>C.</b:First>
          </b:Person>
        </b:NameList>
      </b:Author>
    </b:Author>
    <b:Title>Cyclicality of Informal Economy</b:Title>
    <b:JournalName>Economic Papers, 31(4)</b:JournalName>
    <b:Year>2012</b:Year>
    <b:Pages>478-49</b:Pages>
    <b:RefOrder>3</b:RefOrder>
  </b:Source>
  <b:Source>
    <b:Tag>Elg121</b:Tag>
    <b:SourceType>JournalArticle</b:SourceType>
    <b:Guid>{B74FB965-F9AD-49B9-B36C-4B182753B783}</b:Guid>
    <b:LCID>uz-Cyrl-UZ</b:LCID>
    <b:Author>
      <b:Author>
        <b:NameList>
          <b:Person>
            <b:Last>Elgin</b:Last>
            <b:First>C.</b:First>
          </b:Person>
        </b:NameList>
      </b:Author>
    </b:Author>
    <b:Title>A Theory of Economic Development with Endogenous Fertility</b:Title>
    <b:JournalName>Macroeconomic Dynamics, 16(5)</b:JournalName>
    <b:Year>2012</b:Year>
    <b:Pages>686-705</b:Pages>
    <b:RefOrder>4</b:RefOrder>
  </b:Source>
  <b:Source>
    <b:Tag>Elg122</b:Tag>
    <b:SourceType>JournalArticle</b:SourceType>
    <b:Guid>{A7D81B76-5B81-4546-AE57-91E546A7D036}</b:Guid>
    <b:LCID>uz-Cyrl-UZ</b:LCID>
    <b:Author>
      <b:Author>
        <b:NameList>
          <b:Person>
            <b:Last>Elgin</b:Last>
            <b:First>C.</b:First>
          </b:Person>
          <b:Person>
            <b:Last>Kuzubas</b:Last>
            <b:First>T.U.</b:First>
          </b:Person>
        </b:NameList>
      </b:Author>
    </b:Author>
    <b:Title>Wage Productivity Gap in turkish Manufacturing Sector</b:Title>
    <b:JournalName>İktisat, İşletme ve Finans, 27(316)</b:JournalName>
    <b:Year>2012</b:Year>
    <b:Pages>09-31</b:Pages>
    <b:RefOrder>5</b:RefOrder>
  </b:Source>
  <b:Source>
    <b:Tag>Elg123</b:Tag>
    <b:SourceType>JournalArticle</b:SourceType>
    <b:Guid>{8E5F40F2-3861-42BF-A72D-2E64EF6F14B7}</b:Guid>
    <b:LCID>uz-Cyrl-UZ</b:LCID>
    <b:Author>
      <b:Author>
        <b:NameList>
          <b:Person>
            <b:Last>Elgin</b:Last>
            <b:First>C.</b:First>
          </b:Person>
          <b:Person>
            <b:Last>Tümen</b:Last>
            <b:First>S.</b:First>
          </b:Person>
        </b:NameList>
      </b:Author>
    </b:Author>
    <b:Title>Can Sustained Economic Growth and Declining  Population Coexist? Barro-Becker Children Meet Lucas</b:Title>
    <b:JournalName>Economic Modeling, 29(5)</b:JournalName>
    <b:Year>2012</b:Year>
    <b:Pages>27-44</b:Pages>
    <b:RefOrder>6</b:RefOrder>
  </b:Source>
  <b:Source>
    <b:Tag>Elg124</b:Tag>
    <b:SourceType>JournalArticle</b:SourceType>
    <b:Guid>{7992BEF7-3571-4771-A420-C247872CC090}</b:Guid>
    <b:LCID>uz-Cyrl-UZ</b:LCID>
    <b:Author>
      <b:Author>
        <b:NameList>
          <b:Person>
            <b:Last>Elgin</b:Last>
            <b:First>C.</b:First>
          </b:Person>
        </b:NameList>
      </b:Author>
    </b:Author>
    <b:Title>Vergiler ve Kayıtdışı Ekonomi: Bir Değerlendirme ve Türkiye Örneği</b:Title>
    <b:JournalName>Metu Studies in Development, 39(2)</b:JournalName>
    <b:Year>2012</b:Year>
    <b:Pages>197-235</b:Pages>
    <b:RefOrder>7</b:RefOrder>
  </b:Source>
  <b:Source>
    <b:Tag>Elg125</b:Tag>
    <b:SourceType>JournalArticle</b:SourceType>
    <b:Guid>{BF180CB3-E0F5-454E-BC8A-F38FEF0007D5}</b:Guid>
    <b:LCID>uz-Cyrl-UZ</b:LCID>
    <b:Author>
      <b:Author>
        <b:NameList>
          <b:Person>
            <b:Last>Elgin</b:Last>
            <b:First>C.</b:First>
          </b:Person>
        </b:NameList>
      </b:Author>
    </b:Author>
    <b:Title>Unionization and Informal Economy</b:Title>
    <b:JournalName>Economics Bulletin, 32(3)</b:JournalName>
    <b:Year>2012</b:Year>
    <b:Pages>2615-2623</b:Pages>
    <b:RefOrder>8</b:RefOrder>
  </b:Source>
  <b:Source>
    <b:Tag>Dun95</b:Tag>
    <b:SourceType>JournalArticle</b:SourceType>
    <b:Guid>{D2A565F0-502A-4D39-89D2-D165ADA5AB75}</b:Guid>
    <b:LCID>uz-Cyrl-UZ</b:LCID>
    <b:Author>
      <b:Author>
        <b:NameList>
          <b:Person>
            <b:Last>Dungey</b:Last>
            <b:First>M.</b:First>
          </b:Person>
          <b:Person>
            <b:Last>Yalama</b:Last>
            <b:First>A.</b:First>
          </b:Person>
        </b:NameList>
      </b:Author>
    </b:Author>
    <b:Title>Detecting Contagion with Correlation: Volatility and Timing Matter</b:Title>
    <b:JournalName>International journal of Applied Business and Economic Research (Special Issues: Global Financial Crisis), (with M.Dungey), 10(1)</b:JournalName>
    <b:Year>201285-95</b:Year>
    <b:RefOrder>9</b:RefOrder>
  </b:Source>
  <b:Source>
    <b:Tag>Yal12</b:Tag>
    <b:SourceType>JournalArticle</b:SourceType>
    <b:Guid>{9C22F1A0-0DDB-483A-B5C6-50B8B428930A}</b:Guid>
    <b:LCID>uz-Cyrl-UZ</b:LCID>
    <b:Author>
      <b:Author>
        <b:NameList>
          <b:Person>
            <b:Last>Yalama</b:Last>
            <b:First>A.</b:First>
          </b:Person>
        </b:NameList>
      </b:Author>
    </b:Author>
    <b:Title>International Financial Contagion: The Role of the UK</b:Title>
    <b:JournalName>Boğaziçi Journal: Review of Social, Economic and Administrative Studies, 26(2)</b:JournalName>
    <b:Year>2012</b:Year>
    <b:RefOrder>10</b:RefOrder>
  </b:Source>
  <b:Source>
    <b:Tag>Yıl12</b:Tag>
    <b:SourceType>JournalArticle</b:SourceType>
    <b:Guid>{97F92FD2-D7C4-484F-B986-A71C12CA29DC}</b:Guid>
    <b:LCID>uz-Cyrl-UZ</b:LCID>
    <b:Author>
      <b:Author>
        <b:NameList>
          <b:Person>
            <b:Last>Yıldıran</b:Last>
            <b:First>L.</b:First>
          </b:Person>
        </b:NameList>
      </b:Author>
    </b:Author>
    <b:Title>Credit Card Satisfaction and Financial Literacy: Evidence from Turkey</b:Title>
    <b:JournalName>Emerging Markets Finance and Trade, 48(5)</b:JournalName>
    <b:Year>2012</b:Year>
    <b:Pages>103-115</b:Pages>
    <b:RefOrder>11</b:RefOrder>
  </b:Source>
  <b:Source>
    <b:Tag>Eru12</b:Tag>
    <b:SourceType>JournalArticle</b:SourceType>
    <b:Guid>{DDC16D97-A770-4FCE-AD55-50A3C10BB149}</b:Guid>
    <b:LCID>uz-Cyrl-UZ</b:LCID>
    <b:Author>
      <b:Author>
        <b:NameList>
          <b:Person>
            <b:Last>Erus</b:Last>
            <b:First>B.</b:First>
          </b:Person>
          <b:Person>
            <b:Last>Aktakke</b:Last>
            <b:First>N.</b:First>
          </b:Person>
        </b:NameList>
      </b:Author>
    </b:Author>
    <b:Title>Impact of healthcare reforms on out-of-pocket health expenditures in Turkey for public insurees</b:Title>
    <b:JournalName>European Journal of Health Economics, 13(3)</b:JournalName>
    <b:Year>2012</b:Year>
    <b:Pages>337-346</b:Pages>
    <b:RefOrder>12</b:RefOrder>
  </b:Source>
  <b:Source>
    <b:Tag>Yak12</b:Tag>
    <b:SourceType>JournalArticle</b:SourceType>
    <b:Guid>{DC75F3EF-8BA6-4D43-9793-9A9C5CD1D875}</b:Guid>
    <b:LCID>uz-Cyrl-UZ</b:LCID>
    <b:Author>
      <b:Author>
        <b:NameList>
          <b:Person>
            <b:Last>Yakut Çakar</b:Last>
            <b:First>B.</b:First>
          </b:Person>
          <b:Person>
            <b:Last>Erus</b:Last>
            <b:First>B.</b:First>
          </b:Person>
          <b:Person>
            <b:Last>Adaman</b:Last>
            <b:First>F.</b:First>
          </b:Person>
        </b:NameList>
      </b:Author>
    </b:Author>
    <b:Title>An Inquiry on Introducing a Minimum Income Scheme in Turkey: Alternating Between Cost Efficiency and Poverty Reduction</b:Title>
    <b:JournalName>Journal of European Social Policy, 22(3)</b:JournalName>
    <b:Year>2012</b:Year>
    <b:Pages>305-318</b:Pages>
    <b:RefOrder>13</b:RefOrder>
  </b:Source>
  <b:Source>
    <b:Tag>Yıl121</b:Tag>
    <b:SourceType>JournalArticle</b:SourceType>
    <b:Guid>{502FD59B-B85D-4B3F-9E22-95D1E34FE4A6}</b:Guid>
    <b:LCID>uz-Cyrl-UZ</b:LCID>
    <b:Author>
      <b:Author>
        <b:NameList>
          <b:Person>
            <b:Last>Yıldıran</b:Last>
            <b:First>L.</b:First>
          </b:Person>
          <b:Person>
            <b:Last>Akin</b:Last>
            <b:First>G.G</b:First>
          </b:Person>
          <b:Person>
            <b:Last>Aysan</b:Last>
            <b:First>A.F</b:First>
          </b:Person>
          <b:Person>
            <b:Last>Göllü</b:Last>
            <b:First>G.</b:First>
          </b:Person>
        </b:NameList>
      </b:Author>
    </b:Author>
    <b:Title>Interaction Between Payment Services and Credit Services in Credit Card Markets”, in Tamer Çetin and Fuat Oğuz (eds.), Regulation and Competition in the Turkish Banking and Financial Markets </b:Title>
    <b:JournalName>Nova Science Publishers</b:JournalName>
    <b:Year>2012</b:Year>
    <b:Pages>163-175</b:Pages>
    <b:RefOrder>14</b:RefOrder>
  </b:Source>
  <b:Source>
    <b:Tag>Koy12</b:Tag>
    <b:SourceType>JournalArticle</b:SourceType>
    <b:Guid>{8BD9EC13-0EBB-4BC0-8EBD-419B617216D4}</b:Guid>
    <b:LCID>uz-Cyrl-UZ</b:LCID>
    <b:Author>
      <b:Author>
        <b:NameList>
          <b:Person>
            <b:Last>Koyuncu</b:Last>
            <b:First>M.</b:First>
          </b:Person>
        </b:NameList>
      </b:Author>
    </b:Author>
    <b:Title>Trans-Tasman Transmission of Government Spending Shocks," with P. Arin, and C. Schumacher</b:Title>
    <b:JournalName>Australian Economics Papers, 51(4)</b:JournalName>
    <b:Year>2012</b:Year>
    <b:Pages>167-188</b:Pages>
    <b:RefOrder>15</b:RefOrder>
  </b:Source>
  <b:Source>
    <b:Tag>Kad12</b:Tag>
    <b:SourceType>JournalArticle</b:SourceType>
    <b:Guid>{74CB6E91-C29D-4BD9-A17A-CBC2384BCA91}</b:Guid>
    <b:LCID>uz-Cyrl-UZ</b:LCID>
    <b:Author>
      <b:Author>
        <b:NameList>
          <b:Person>
            <b:Last>Kadirbeyoğlu</b:Last>
            <b:First>Z.</b:First>
          </b:Person>
        </b:NameList>
      </b:Author>
    </b:Author>
    <b:Title>“The Neoliberal Transformation of Local Government in Turkey and the Contracting Out of Municipal Services: Implications for Public Accountability” (with Bilgesu Sumer)</b:Title>
    <b:JournalName>Mediterranean Politics, 12(3)</b:JournalName>
    <b:Year>2012</b:Year>
    <b:Pages>340-357</b:Pages>
    <b:RefOrder>16</b:RefOrder>
  </b:Source>
  <b:Source>
    <b:Tag>Yıl122</b:Tag>
    <b:SourceType>JournalArticle</b:SourceType>
    <b:Guid>{53168201-1512-417D-A8CF-C33FDFE50B88}</b:Guid>
    <b:LCID>uz-Cyrl-UZ</b:LCID>
    <b:Author>
      <b:Author>
        <b:NameList>
          <b:Person>
            <b:Last>Yılmazer</b:Last>
            <b:First>T.</b:First>
          </b:Person>
          <b:Person>
            <b:Last>Adaman</b:Last>
            <b:First>F.</b:First>
          </b:Person>
          <b:Person>
            <b:Last>Kaytaz</b:Last>
            <b:First>M.</b:First>
          </b:Person>
        </b:NameList>
      </b:Author>
    </b:Author>
    <b:Title>The Impact of Financial Development on Homeownership and Housing in Emerging Economies: Evidence from Turkey</b:Title>
    <b:JournalName>Review of Middle East Economics and Finance, 8.2</b:JournalName>
    <b:Year>2012</b:Year>
    <b:Pages>1-29</b:Pages>
    <b:RefOrder>17</b:RefOrder>
  </b:Source>
  <b:Source>
    <b:Tag>Tek12</b:Tag>
    <b:SourceType>JournalArticle</b:SourceType>
    <b:Guid>{F4081528-D9C5-4680-8813-08FB37D46F71}</b:Guid>
    <b:LCID>uz-Cyrl-UZ</b:LCID>
    <b:Author>
      <b:Author>
        <b:NameList>
          <b:Person>
            <b:Last>Tekin</b:Last>
            <b:First>R.B.</b:First>
          </b:Person>
        </b:NameList>
      </b:Author>
    </b:Author>
    <b:Title>Economic growth, exports and foreign direct investment in Least Developed Countries: A panel Granger causality analysis</b:Title>
    <b:JournalName>Economic Modelling, 29(3)</b:JournalName>
    <b:Year>2012</b:Year>
    <b:Pages>868-878</b:Pages>
    <b:RefOrder>18</b:RefOrder>
  </b:Source>
  <b:Source>
    <b:Tag>Tek121</b:Tag>
    <b:SourceType>JournalArticle</b:SourceType>
    <b:Guid>{EE818EB7-CAD9-4F84-B4C7-F9A4D55C7D46}</b:Guid>
    <b:LCID>uz-Cyrl-UZ</b:LCID>
    <b:Author>
      <b:Author>
        <b:NameList>
          <b:Person>
            <b:Last>Tekin</b:Last>
            <b:First>R.B.</b:First>
          </b:Person>
          <b:Person>
            <b:Last>Güloğlu</b:Last>
            <b:First>B.</b:First>
          </b:Person>
          <b:Person>
            <b:Last>Sarıdoğan</b:Last>
            <b:First>E.</b:First>
          </b:Person>
        </b:NameList>
      </b:Author>
    </b:Author>
    <b:Title>Economic determinants of technological progress in G7 countries: A re-examination</b:Title>
    <b:JournalName>Economics Letters</b:JournalName>
    <b:Year>2012</b:Year>
    <b:RefOrder>19</b:RefOrder>
  </b:Source>
  <b:Source>
    <b:Tag>Tek122</b:Tag>
    <b:SourceType>JournalArticle</b:SourceType>
    <b:Guid>{1D5D1ADA-8F5E-4EA1-B96A-EFF5F10E88DF}</b:Guid>
    <b:LCID>uz-Cyrl-UZ</b:LCID>
    <b:Author>
      <b:Author>
        <b:NameList>
          <b:Person>
            <b:Last>Tekin</b:Last>
            <b:First>R.B.</b:First>
          </b:Person>
          <b:Person>
            <b:Last>Güloğlu</b:Last>
            <b:First>B.</b:First>
          </b:Person>
        </b:NameList>
      </b:Author>
    </b:Author>
    <b:Title>A Panel Causality Analysis of the Relationship among Research and Development, Innovation and Economic Growth in High Income OECD Countries</b:Title>
    <b:JournalName>Eurasian Economic Review, 2(1)</b:JournalName>
    <b:Year>2012</b:Year>
    <b:Pages>32-47</b:Pages>
    <b:RefOrder>20</b:RefOrder>
  </b:Source>
  <b:Source>
    <b:Tag>Tek123</b:Tag>
    <b:SourceType>JournalArticle</b:SourceType>
    <b:Guid>{E716B5FC-333D-4C8B-B493-C4C9B342D7FE}</b:Guid>
    <b:LCID>uz-Cyrl-UZ</b:LCID>
    <b:Author>
      <b:Author>
        <b:NameList>
          <b:Person>
            <b:Last>Tekin</b:Last>
            <b:First>R.B.</b:First>
          </b:Person>
        </b:NameList>
      </b:Author>
    </b:Author>
    <b:Title>Development aid, openness to trade and economic growth in Least Developed Countries: bootstrap panel Granger causality analysis</b:Title>
    <b:JournalName>Procedia-Social and Behavioral Sciences, 62</b:JournalName>
    <b:Year>2012</b:Year>
    <b:Pages>716-721</b:Pages>
    <b:RefOrder>21</b:RefOrder>
  </b:Source>
  <b:Source>
    <b:Tag>Den12</b:Tag>
    <b:SourceType>JournalArticle</b:SourceType>
    <b:Guid>{AE4E8127-1C1D-4D83-8881-0D4A1EFB4793}</b:Guid>
    <b:LCID>uz-Cyrl-UZ</b:LCID>
    <b:Author>
      <b:Author>
        <b:NameList>
          <b:Person>
            <b:Last>Denizer</b:Last>
            <b:First>C.</b:First>
          </b:Person>
          <b:Person>
            <b:Last>Kaufmann</b:Last>
            <b:First>D.</b:First>
          </b:Person>
          <b:Person>
            <b:Last>Kraay</b:Last>
            <b:First>A.</b:First>
          </b:Person>
        </b:NameList>
      </b:Author>
    </b:Author>
    <b:Title>Good Countries or Good Projects? Macro and Micro Correlates of World Bank Project Performance, </b:Title>
    <b:Year>2012</b:Year>
    <b:RefOrder>22</b:RefOrder>
  </b:Source>
  <b:Source>
    <b:Tag>Den121</b:Tag>
    <b:SourceType>JournalArticle</b:SourceType>
    <b:Guid>{99D7EDD5-CD2A-4807-9A82-3396A3CC0007}</b:Guid>
    <b:LCID>uz-Cyrl-UZ</b:LCID>
    <b:Author>
      <b:Author>
        <b:NameList>
          <b:Person>
            <b:Last>Denizer</b:Last>
            <b:First>C.</b:First>
          </b:Person>
        </b:NameList>
      </b:Author>
    </b:Author>
    <b:Title>IDA's Role in Global Aid Architecture</b:Title>
    <b:JournalName>Working Paper, Concessional Finance and Resource Mobilization Department-IDA, World Bank</b:JournalName>
    <b:Year>2012</b:Year>
    <b:RefOrder>23</b:RefOrder>
  </b:Source>
  <b:Source>
    <b:Tag>Den122</b:Tag>
    <b:SourceType>JournalArticle</b:SourceType>
    <b:Guid>{C0E0F0ED-7117-44CE-BDA6-05EEE5FBCAC2}</b:Guid>
    <b:LCID>uz-Cyrl-UZ</b:LCID>
    <b:Author>
      <b:Author>
        <b:NameList>
          <b:Person>
            <b:Last>Denizer</b:Last>
            <b:First>C.</b:First>
          </b:Person>
        </b:NameList>
      </b:Author>
    </b:Author>
    <b:Title>Long Term Development Patterns of IDA Countries: Prospects for Convergence</b:Title>
    <b:JournalName>Working Paper, Concessional Finance and Resource Mobilization Department, IDA, World Bank</b:JournalName>
    <b:Year>2012</b:Year>
    <b:RefOrder>24</b:RefOrder>
  </b:Source>
  <b:Source>
    <b:Tag>ÖzÖ12</b:Tag>
    <b:SourceType>JournalArticle</b:SourceType>
    <b:Guid>{F35CB42A-A72E-443B-957E-6D44BCDB701D}</b:Guid>
    <b:LCID>uz-Cyrl-UZ</b:LCID>
    <b:Author>
      <b:Author>
        <b:NameList>
          <b:Person>
            <b:Last>Öz</b:Last>
            <b:First>Ö.</b:First>
          </b:Person>
          <b:Person>
            <b:Last>Eder</b:Last>
            <b:First>M.</b:First>
          </b:Person>
        </b:NameList>
      </b:Author>
    </b:Author>
    <b:Title>Rendering Istanbul’s Periodic Bazaars Invisible: Reflections on Urban Transformation and Contested Space</b:Title>
    <b:JournalName>International Journal of Urban and Regional Research, 36(2)</b:JournalName>
    <b:Year>2012</b:Year>
    <b:Pages>297-314</b:Pages>
    <b:RefOrder>25</b:RefOrder>
  </b:Source>
  <b:Source>
    <b:Tag>Ozm12</b:Tag>
    <b:SourceType>JournalArticle</b:SourceType>
    <b:Guid>{6D8AA7DC-27A7-4F27-8055-E7FA1941AB3A}</b:Guid>
    <b:LCID>uz-Cyrl-UZ</b:LCID>
    <b:Author>
      <b:Author>
        <b:NameList>
          <b:Person>
            <b:Last>Ozmucur</b:Last>
            <b:First>S.</b:First>
          </b:Person>
        </b:NameList>
      </b:Author>
    </b:Author>
    <b:Title>500 Buyuk Kurulusta Mali ve Ekonomik Gostergeler, 1980-2011</b:Title>
    <b:JournalName>İstanbul Sanayi Odası Dergisi</b:JournalName>
    <b:Year>2012</b:Year>
    <b:RefOrder>26</b:RefOrder>
  </b:Source>
  <b:Source>
    <b:Tag>Cey12</b:Tag>
    <b:SourceType>JournalArticle</b:SourceType>
    <b:Guid>{E01291DE-487F-44DD-A00C-F8F8F47A4AB2}</b:Guid>
    <b:LCID>uz-Cyrl-UZ</b:LCID>
    <b:Author>
      <b:Author>
        <b:NameList>
          <b:Person>
            <b:Last>Elgin</b:Last>
            <b:First>C.</b:First>
          </b:Person>
          <b:Person>
            <b:Last>Solis-Garcia</b:Last>
            <b:First>M.</b:First>
          </b:Person>
        </b:NameList>
      </b:Author>
    </b:Author>
    <b:Title>Public Trust, Taxes and the Informal sector</b:Title>
    <b:JournalName>Bogazici Journal: Review of Social, Economic and Administrative Studies, 26(1)</b:JournalName>
    <b:Year>2012</b:Year>
    <b:Pages>27-44</b:Pages>
    <b:RefOrder>27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3B7798-8F15-4D2C-8D1A-D38EDF90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Makro Ekonomi ve Uygulamalı Ekonometri Uygulama ve Araştırma Merkezi</vt:lpstr>
      <vt:lpstr>İktisadi Tasarım Uygulama ve Araştırma Merkezi</vt:lpstr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Makro Ekonomi ve Uygulamalı Ekonometri Uygulama ve Araştırma Merkezi</dc:title>
  <dc:creator>Gülşen Mutlu</dc:creator>
  <cp:lastModifiedBy>Gülşen Mutlu</cp:lastModifiedBy>
  <cp:revision>242</cp:revision>
  <cp:lastPrinted>2013-03-07T08:01:00Z</cp:lastPrinted>
  <dcterms:created xsi:type="dcterms:W3CDTF">2013-03-07T08:01:00Z</dcterms:created>
  <dcterms:modified xsi:type="dcterms:W3CDTF">2013-07-18T09:31:00Z</dcterms:modified>
</cp:coreProperties>
</file>