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A67D1C" w:rsidP="001813F7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859BC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A67D1C" w:rsidP="001813F7">
                <w:pPr>
                  <w:pStyle w:val="AltKonuBal"/>
                  <w:spacing w:after="300" w:line="240" w:lineRule="auto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A67D1C" w:rsidP="001813F7">
                <w:pPr>
                  <w:spacing w:after="300" w:line="240" w:lineRule="auto"/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A67D1C" w:rsidP="001813F7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9381D" w:rsidRDefault="00D9381D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1813F7">
            <w:rPr>
              <w:noProof/>
              <w:lang w:eastAsia="tr-TR"/>
            </w:rPr>
            <w:drawing>
              <wp:inline distT="0" distB="0" distL="0" distR="0" wp14:anchorId="6653971A" wp14:editId="2FD8BEB3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7258A1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8005F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7A1F26" w:rsidRPr="007A1F26" w:rsidRDefault="007A1F26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EA0FF5" w:rsidRDefault="007258A1" w:rsidP="008005F0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EA0FF5"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Public Portrayal of Turkey in </w:t>
      </w:r>
      <w:proofErr w:type="spellStart"/>
      <w:r w:rsidR="00EA0FF5"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>Visagrad</w:t>
      </w:r>
      <w:proofErr w:type="spellEnd"/>
      <w:r w:rsidR="00EA0FF5"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Countries  </w:t>
      </w:r>
    </w:p>
    <w:p w:rsidR="00EA0FF5" w:rsidRDefault="007A1F26" w:rsidP="007A1F26">
      <w:pPr>
        <w:tabs>
          <w:tab w:val="left" w:pos="3756"/>
        </w:tabs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</w:t>
      </w:r>
      <w:r w:rsidR="00EA0FF5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EA0FF5" w:rsidRPr="00EA0FF5">
        <w:rPr>
          <w:rFonts w:asciiTheme="majorHAnsi" w:hAnsiTheme="majorHAnsi"/>
          <w:noProof/>
          <w:lang w:eastAsia="ko-KR"/>
        </w:rPr>
        <w:t>Hakan Yılmaz</w:t>
      </w:r>
    </w:p>
    <w:p w:rsidR="007258A1" w:rsidRPr="00A9383E" w:rsidRDefault="007258A1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EA0FF5">
        <w:rPr>
          <w:rFonts w:asciiTheme="majorHAnsi" w:hAnsiTheme="majorHAnsi"/>
          <w:noProof/>
          <w:lang w:eastAsia="ko-KR"/>
        </w:rPr>
        <w:t>15 Mart</w:t>
      </w:r>
      <w:r w:rsidRPr="00A9383E">
        <w:rPr>
          <w:rFonts w:asciiTheme="majorHAnsi" w:hAnsiTheme="majorHAnsi"/>
          <w:noProof/>
          <w:lang w:eastAsia="ko-KR"/>
        </w:rPr>
        <w:t xml:space="preserve"> 2013</w:t>
      </w:r>
    </w:p>
    <w:p w:rsidR="007258A1" w:rsidRPr="00A9383E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EA0FF5" w:rsidRPr="00EA0FF5">
        <w:rPr>
          <w:rFonts w:asciiTheme="majorHAnsi" w:hAnsiTheme="majorHAnsi"/>
          <w:noProof/>
          <w:lang w:eastAsia="ko-KR"/>
        </w:rPr>
        <w:t>İbrahim Bodur Salonu,</w:t>
      </w:r>
      <w:r w:rsidR="00EA0FF5"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A9383E">
        <w:rPr>
          <w:rFonts w:asciiTheme="majorHAnsi" w:hAnsiTheme="majorHAnsi"/>
          <w:noProof/>
          <w:lang w:eastAsia="ko-KR"/>
        </w:rPr>
        <w:t>Boğaziçi Üniversitesi</w:t>
      </w:r>
    </w:p>
    <w:p w:rsidR="007258A1" w:rsidRPr="00A9383E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="00EA0FF5">
        <w:rPr>
          <w:rFonts w:asciiTheme="majorHAnsi" w:hAnsiTheme="majorHAnsi"/>
          <w:noProof/>
          <w:lang w:eastAsia="ko-KR"/>
        </w:rPr>
        <w:t>30</w:t>
      </w:r>
    </w:p>
    <w:p w:rsidR="007258A1" w:rsidRPr="00A9383E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 w:rsidR="00EA0FF5">
        <w:rPr>
          <w:rFonts w:asciiTheme="majorHAnsi" w:hAnsiTheme="majorHAnsi"/>
          <w:noProof/>
          <w:lang w:eastAsia="ko-KR"/>
        </w:rPr>
        <w:t>4</w:t>
      </w:r>
    </w:p>
    <w:p w:rsidR="00E93C50" w:rsidRDefault="00E93C50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Sınırlarıyla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İfade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Özgürlüğü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-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Türkiye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Avrupa'da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Nefret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93C50" w:rsidRP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</w:t>
      </w:r>
      <w:r w:rsidR="00B1328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</w:t>
      </w:r>
      <w:proofErr w:type="spellStart"/>
      <w:r w:rsidR="008005F0">
        <w:rPr>
          <w:rFonts w:asciiTheme="majorHAnsi" w:hAnsiTheme="majorHAnsi"/>
          <w:b/>
          <w:color w:val="365F91" w:themeColor="accent1" w:themeShade="BF"/>
          <w:lang w:val="en-US" w:eastAsia="ko-KR"/>
        </w:rPr>
        <w:t>Söylemi</w:t>
      </w:r>
      <w:proofErr w:type="spellEnd"/>
    </w:p>
    <w:p w:rsidR="00E93C50" w:rsidRDefault="00E93C50" w:rsidP="008005F0">
      <w:pPr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E93C50" w:rsidRPr="00A9383E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28 Mart</w:t>
      </w:r>
      <w:r w:rsidRPr="00A9383E">
        <w:rPr>
          <w:rFonts w:asciiTheme="majorHAnsi" w:hAnsiTheme="majorHAnsi"/>
          <w:noProof/>
          <w:lang w:eastAsia="ko-KR"/>
        </w:rPr>
        <w:t xml:space="preserve"> 2013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Rektörlük Konferans Salonu</w:t>
      </w:r>
      <w:r w:rsidRPr="00EA0FF5">
        <w:rPr>
          <w:rFonts w:asciiTheme="majorHAnsi" w:hAnsiTheme="majorHAnsi"/>
          <w:noProof/>
          <w:lang w:eastAsia="ko-KR"/>
        </w:rPr>
        <w:t>,</w:t>
      </w:r>
      <w:r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A9383E">
        <w:rPr>
          <w:rFonts w:asciiTheme="majorHAnsi" w:hAnsiTheme="majorHAnsi"/>
          <w:noProof/>
          <w:lang w:eastAsia="ko-KR"/>
        </w:rPr>
        <w:t>Boğaziçi Üniversitesi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60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1</w:t>
      </w:r>
    </w:p>
    <w:p w:rsidR="00E93C50" w:rsidRPr="008005F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1328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Almanya’da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2013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Seçimlerinin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Türkiye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ve AB’ye Olası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</w:t>
      </w:r>
      <w:r w:rsidR="00B1328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="008005F0">
        <w:rPr>
          <w:rFonts w:asciiTheme="majorHAnsi" w:hAnsiTheme="majorHAnsi"/>
          <w:b/>
          <w:color w:val="365F91" w:themeColor="accent1" w:themeShade="BF"/>
          <w:lang w:val="en-US" w:eastAsia="ko-KR"/>
        </w:rPr>
        <w:t>Etkileri</w:t>
      </w:r>
      <w:proofErr w:type="spellEnd"/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E93C50" w:rsidRPr="00A9383E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9 Mayıs</w:t>
      </w:r>
      <w:r w:rsidRPr="00A9383E">
        <w:rPr>
          <w:rFonts w:asciiTheme="majorHAnsi" w:hAnsiTheme="majorHAnsi"/>
          <w:noProof/>
          <w:lang w:eastAsia="ko-KR"/>
        </w:rPr>
        <w:t xml:space="preserve"> 2013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TÜSİAD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50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3</w:t>
      </w: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1328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7A1F26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9. Boğaziçi </w:t>
      </w:r>
      <w:proofErr w:type="spellStart"/>
      <w:r w:rsidR="007A1F26">
        <w:rPr>
          <w:rFonts w:asciiTheme="majorHAnsi" w:hAnsiTheme="majorHAnsi"/>
          <w:b/>
          <w:color w:val="365F91" w:themeColor="accent1" w:themeShade="BF"/>
          <w:lang w:val="en-US" w:eastAsia="ko-KR"/>
        </w:rPr>
        <w:t>Buluşması</w:t>
      </w:r>
      <w:proofErr w:type="spellEnd"/>
      <w:r w:rsidR="007A1F26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“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Üniversite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Gençliği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Avrupa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Birliği'nin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93C50" w:rsidRPr="00E93C50" w:rsidRDefault="00E93C50" w:rsidP="007A1F2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="00B1328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Konuşuyor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: AB-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Türkiye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İlişkilerinde</w:t>
      </w:r>
      <w:proofErr w:type="spellEnd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Yakın </w:t>
      </w:r>
      <w:proofErr w:type="spellStart"/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>Gelecek</w:t>
      </w:r>
      <w:proofErr w:type="spellEnd"/>
      <w:r w:rsidR="007A1F26">
        <w:rPr>
          <w:rFonts w:asciiTheme="majorHAnsi" w:hAnsiTheme="majorHAnsi"/>
          <w:b/>
          <w:color w:val="365F91" w:themeColor="accent1" w:themeShade="BF"/>
          <w:lang w:val="en-US" w:eastAsia="ko-KR"/>
        </w:rPr>
        <w:t>”</w:t>
      </w:r>
      <w:r w:rsidRPr="00E93C5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93C50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E93C50" w:rsidRPr="00A9383E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18-19 Mayıs</w:t>
      </w:r>
      <w:r w:rsidRPr="00A9383E">
        <w:rPr>
          <w:rFonts w:asciiTheme="majorHAnsi" w:hAnsiTheme="majorHAnsi"/>
          <w:noProof/>
          <w:lang w:eastAsia="ko-KR"/>
        </w:rPr>
        <w:t xml:space="preserve"> 2013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EA0FF5">
        <w:rPr>
          <w:rFonts w:asciiTheme="majorHAnsi" w:hAnsiTheme="majorHAnsi"/>
          <w:noProof/>
          <w:lang w:eastAsia="ko-KR"/>
        </w:rPr>
        <w:t xml:space="preserve">Natuk Birkan İbrahim </w:t>
      </w:r>
      <w:r>
        <w:rPr>
          <w:rFonts w:asciiTheme="majorHAnsi" w:hAnsiTheme="majorHAnsi"/>
          <w:noProof/>
          <w:lang w:eastAsia="ko-KR"/>
        </w:rPr>
        <w:t xml:space="preserve">Bodur Salonu, </w:t>
      </w:r>
      <w:r w:rsidRPr="00EA0FF5">
        <w:rPr>
          <w:rFonts w:asciiTheme="majorHAnsi" w:hAnsiTheme="majorHAnsi"/>
          <w:noProof/>
          <w:lang w:eastAsia="ko-KR"/>
        </w:rPr>
        <w:t>Rektörlük Konferans Salonu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E93C50">
        <w:rPr>
          <w:rFonts w:asciiTheme="majorHAnsi" w:hAnsiTheme="majorHAnsi"/>
          <w:noProof/>
          <w:lang w:eastAsia="ko-KR"/>
        </w:rPr>
        <w:t>1</w:t>
      </w:r>
      <w:r>
        <w:rPr>
          <w:rFonts w:asciiTheme="majorHAnsi" w:hAnsiTheme="majorHAnsi"/>
          <w:noProof/>
          <w:lang w:eastAsia="ko-KR"/>
        </w:rPr>
        <w:t>50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5</w:t>
      </w:r>
    </w:p>
    <w:p w:rsidR="00FB1717" w:rsidRDefault="00FB1717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FB1717" w:rsidRDefault="00FB1717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="008C5B88" w:rsidRPr="00B1328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proofErr w:type="spellStart"/>
      <w:r w:rsidRPr="00FB1717">
        <w:rPr>
          <w:rFonts w:asciiTheme="majorHAnsi" w:hAnsiTheme="majorHAnsi"/>
          <w:b/>
          <w:color w:val="365F91" w:themeColor="accent1" w:themeShade="BF"/>
          <w:lang w:val="en-US" w:eastAsia="ko-KR"/>
        </w:rPr>
        <w:t>Teoride</w:t>
      </w:r>
      <w:proofErr w:type="spellEnd"/>
      <w:r w:rsidRPr="00FB171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FB1717">
        <w:rPr>
          <w:rFonts w:asciiTheme="majorHAnsi" w:hAnsiTheme="majorHAnsi"/>
          <w:b/>
          <w:color w:val="365F91" w:themeColor="accent1" w:themeShade="BF"/>
          <w:lang w:val="en-US" w:eastAsia="ko-KR"/>
        </w:rPr>
        <w:t>v</w:t>
      </w:r>
      <w:r w:rsidR="008C5B88">
        <w:rPr>
          <w:rFonts w:asciiTheme="majorHAnsi" w:hAnsiTheme="majorHAnsi"/>
          <w:b/>
          <w:color w:val="365F91" w:themeColor="accent1" w:themeShade="BF"/>
          <w:lang w:val="en-US" w:eastAsia="ko-KR"/>
        </w:rPr>
        <w:t>e</w:t>
      </w:r>
      <w:proofErr w:type="spellEnd"/>
      <w:r w:rsidR="008C5B8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="008C5B88">
        <w:rPr>
          <w:rFonts w:asciiTheme="majorHAnsi" w:hAnsiTheme="majorHAnsi"/>
          <w:b/>
          <w:color w:val="365F91" w:themeColor="accent1" w:themeShade="BF"/>
          <w:lang w:val="en-US" w:eastAsia="ko-KR"/>
        </w:rPr>
        <w:t>Pratikte</w:t>
      </w:r>
      <w:proofErr w:type="spellEnd"/>
      <w:r w:rsidR="008C5B8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LGBT </w:t>
      </w:r>
      <w:proofErr w:type="spellStart"/>
      <w:r w:rsidR="008C5B88">
        <w:rPr>
          <w:rFonts w:asciiTheme="majorHAnsi" w:hAnsiTheme="majorHAnsi"/>
          <w:b/>
          <w:color w:val="365F91" w:themeColor="accent1" w:themeShade="BF"/>
          <w:lang w:val="en-US" w:eastAsia="ko-KR"/>
        </w:rPr>
        <w:t>olmak</w:t>
      </w:r>
      <w:proofErr w:type="spellEnd"/>
    </w:p>
    <w:p w:rsidR="00FB1717" w:rsidRPr="00FB1717" w:rsidRDefault="00FB1717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FB1717" w:rsidRPr="00A9383E" w:rsidRDefault="00FB1717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 xml:space="preserve">9 Ekim </w:t>
      </w:r>
      <w:r w:rsidRPr="00A9383E">
        <w:rPr>
          <w:rFonts w:asciiTheme="majorHAnsi" w:hAnsiTheme="majorHAnsi"/>
          <w:noProof/>
          <w:lang w:eastAsia="ko-KR"/>
        </w:rPr>
        <w:t>2013</w:t>
      </w:r>
    </w:p>
    <w:p w:rsidR="00FB1717" w:rsidRPr="00A9383E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EA0FF5">
        <w:rPr>
          <w:rFonts w:asciiTheme="majorHAnsi" w:hAnsiTheme="majorHAnsi"/>
          <w:noProof/>
          <w:lang w:eastAsia="ko-KR"/>
        </w:rPr>
        <w:t>İbrahim Bodur Salonu,</w:t>
      </w:r>
      <w:r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A9383E">
        <w:rPr>
          <w:rFonts w:asciiTheme="majorHAnsi" w:hAnsiTheme="majorHAnsi"/>
          <w:noProof/>
          <w:lang w:eastAsia="ko-KR"/>
        </w:rPr>
        <w:t>Boğaziçi Üniversitesi</w:t>
      </w:r>
    </w:p>
    <w:p w:rsidR="00FB1717" w:rsidRPr="00A9383E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70</w:t>
      </w:r>
    </w:p>
    <w:p w:rsidR="00FB1717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6</w:t>
      </w:r>
    </w:p>
    <w:p w:rsidR="00B1328E" w:rsidRPr="00A9383E" w:rsidRDefault="00B1328E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FB1717" w:rsidRPr="00FB1717" w:rsidRDefault="00FB1717" w:rsidP="008C5B88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B1328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FB171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The Future of European Integration- A Reform Call </w:t>
      </w:r>
    </w:p>
    <w:p w:rsidR="00FB1717" w:rsidRPr="00FB1717" w:rsidRDefault="00FB1717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FB1717" w:rsidRPr="00A9383E" w:rsidRDefault="00FB1717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 xml:space="preserve">4 Aralık </w:t>
      </w:r>
      <w:r w:rsidRPr="00A9383E">
        <w:rPr>
          <w:rFonts w:asciiTheme="majorHAnsi" w:hAnsiTheme="majorHAnsi"/>
          <w:noProof/>
          <w:lang w:eastAsia="ko-KR"/>
        </w:rPr>
        <w:t>2013</w:t>
      </w:r>
    </w:p>
    <w:p w:rsidR="00FB1717" w:rsidRPr="00A9383E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TÜSİAD</w:t>
      </w:r>
    </w:p>
    <w:p w:rsidR="00FB1717" w:rsidRPr="00A9383E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30</w:t>
      </w:r>
    </w:p>
    <w:p w:rsidR="00FB1717" w:rsidRDefault="00FB1717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4</w:t>
      </w:r>
    </w:p>
    <w:p w:rsidR="00924D95" w:rsidRDefault="00924D95" w:rsidP="00924D9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lastRenderedPageBreak/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="00B1328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10. Boğaziçi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Buluşması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"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Devlet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,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Toplum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ve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Birey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Eksenin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de </w:t>
      </w:r>
    </w:p>
    <w:p w:rsidR="00924D95" w:rsidRDefault="00924D95" w:rsidP="00924D9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Milliyetçilik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–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Üniversite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Gençliği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Milliyetçilik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>Kavramını</w:t>
      </w:r>
      <w:proofErr w:type="spellEnd"/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924D95" w:rsidRDefault="00924D95" w:rsidP="00924D9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Konuşuyor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" </w:t>
      </w:r>
      <w:r w:rsidRPr="001E511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924D95" w:rsidRDefault="00924D95" w:rsidP="00924D9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924D95" w:rsidRPr="00A9383E" w:rsidRDefault="00924D95" w:rsidP="00924D95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 xml:space="preserve">13-14 Aralık </w:t>
      </w:r>
      <w:r w:rsidRPr="00A9383E">
        <w:rPr>
          <w:rFonts w:asciiTheme="majorHAnsi" w:hAnsiTheme="majorHAnsi"/>
          <w:noProof/>
          <w:lang w:eastAsia="ko-KR"/>
        </w:rPr>
        <w:t>2013</w:t>
      </w:r>
    </w:p>
    <w:p w:rsidR="00924D95" w:rsidRPr="00A9383E" w:rsidRDefault="00924D95" w:rsidP="00924D95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Pr="00EA0FF5">
        <w:rPr>
          <w:rFonts w:asciiTheme="majorHAnsi" w:hAnsiTheme="majorHAnsi"/>
          <w:noProof/>
          <w:lang w:eastAsia="ko-KR"/>
        </w:rPr>
        <w:t>İbrahim Bodur Salonu,</w:t>
      </w:r>
      <w:r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A9383E">
        <w:rPr>
          <w:rFonts w:asciiTheme="majorHAnsi" w:hAnsiTheme="majorHAnsi"/>
          <w:noProof/>
          <w:lang w:eastAsia="ko-KR"/>
        </w:rPr>
        <w:t>Boğaziçi Üniversitesi</w:t>
      </w:r>
    </w:p>
    <w:p w:rsidR="00924D95" w:rsidRPr="00A9383E" w:rsidRDefault="00924D95" w:rsidP="00924D95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E93C50">
        <w:rPr>
          <w:rFonts w:asciiTheme="majorHAnsi" w:hAnsiTheme="majorHAnsi"/>
          <w:noProof/>
          <w:lang w:eastAsia="ko-KR"/>
        </w:rPr>
        <w:t>1</w:t>
      </w:r>
      <w:r>
        <w:rPr>
          <w:rFonts w:asciiTheme="majorHAnsi" w:hAnsiTheme="majorHAnsi"/>
          <w:noProof/>
          <w:lang w:eastAsia="ko-KR"/>
        </w:rPr>
        <w:t>00</w:t>
      </w:r>
    </w:p>
    <w:p w:rsidR="00924D95" w:rsidRPr="00A9383E" w:rsidRDefault="00924D95" w:rsidP="00924D95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6</w:t>
      </w:r>
    </w:p>
    <w:p w:rsidR="00554DD2" w:rsidRDefault="00554DD2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</w:p>
    <w:p w:rsidR="00554DD2" w:rsidRPr="00B1328E" w:rsidRDefault="00554DD2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B1328E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II-MERKEZ</w:t>
      </w:r>
      <w:r w:rsidR="00771597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’</w:t>
      </w:r>
      <w:r w:rsidRPr="00B1328E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DE YÜRÜTÜLEN PROJELER VE RAPOR DÖNEMİNDE TAMAMLANAN PROJELER</w:t>
      </w:r>
    </w:p>
    <w:p w:rsidR="00554DD2" w:rsidRPr="0003103B" w:rsidRDefault="00554DD2" w:rsidP="008005F0">
      <w:pPr>
        <w:autoSpaceDE w:val="0"/>
        <w:autoSpaceDN w:val="0"/>
        <w:adjustRightInd w:val="0"/>
        <w:spacing w:after="0" w:line="300" w:lineRule="exact"/>
        <w:rPr>
          <w:rFonts w:asciiTheme="majorHAnsi" w:hAnsiTheme="majorHAnsi" w:cs="TimesNewRomanPSMT"/>
          <w:color w:val="222222"/>
        </w:rPr>
      </w:pPr>
    </w:p>
    <w:p w:rsidR="00554DD2" w:rsidRPr="00D36140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Proje Adı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Avrupa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Birliği’nde</w:t>
      </w:r>
      <w:proofErr w:type="spellEnd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spellStart"/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Vatandaşlık</w:t>
      </w:r>
      <w:proofErr w:type="spellEnd"/>
    </w:p>
    <w:p w:rsidR="00554DD2" w:rsidRPr="00554DD2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val="en-US"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Yürütücüsü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554DD2">
        <w:rPr>
          <w:rFonts w:asciiTheme="majorHAnsi" w:hAnsiTheme="majorHAnsi"/>
          <w:lang w:val="en-US" w:eastAsia="ko-KR"/>
        </w:rPr>
        <w:t xml:space="preserve">Utrecht </w:t>
      </w:r>
      <w:proofErr w:type="spellStart"/>
      <w:r w:rsidRPr="00554DD2">
        <w:rPr>
          <w:rFonts w:asciiTheme="majorHAnsi" w:hAnsiTheme="majorHAnsi"/>
          <w:lang w:val="en-US" w:eastAsia="ko-KR"/>
        </w:rPr>
        <w:t>Üniversitesi</w:t>
      </w:r>
      <w:proofErr w:type="spellEnd"/>
    </w:p>
    <w:p w:rsidR="00554DD2" w:rsidRPr="0003103B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Destekleyen Kuruluşlar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>:</w:t>
      </w:r>
      <w:r w:rsidR="009914CC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Avrupa Birliği</w:t>
      </w:r>
    </w:p>
    <w:p w:rsidR="00554DD2" w:rsidRPr="0003103B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6E6F71"/>
        </w:rPr>
      </w:pPr>
      <w:r>
        <w:rPr>
          <w:rFonts w:asciiTheme="majorHAnsi" w:eastAsia="Calibri" w:hAnsiTheme="majorHAnsi" w:cs="InterstateLight"/>
          <w:b/>
          <w:color w:val="6E6F71"/>
        </w:rPr>
        <w:t>Başlangıç Yılı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390A4F">
        <w:rPr>
          <w:rFonts w:asciiTheme="majorHAnsi" w:hAnsiTheme="majorHAnsi"/>
          <w:lang w:val="en-US" w:eastAsia="ko-KR"/>
        </w:rPr>
        <w:t>2013</w:t>
      </w:r>
    </w:p>
    <w:p w:rsidR="00554DD2" w:rsidRPr="0003103B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lang w:eastAsia="ko-KR"/>
        </w:rPr>
      </w:pPr>
      <w:r>
        <w:rPr>
          <w:rFonts w:asciiTheme="majorHAnsi" w:eastAsia="Calibri" w:hAnsiTheme="majorHAnsi" w:cs="InterstateLight"/>
          <w:b/>
          <w:color w:val="6E6F71"/>
        </w:rPr>
        <w:t>Durumu</w:t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390A4F">
        <w:rPr>
          <w:rFonts w:asciiTheme="majorHAnsi" w:hAnsiTheme="majorHAnsi"/>
          <w:lang w:val="en-US" w:eastAsia="ko-KR"/>
        </w:rPr>
        <w:t>Devam</w:t>
      </w:r>
      <w:proofErr w:type="spellEnd"/>
      <w:r w:rsidRPr="00390A4F">
        <w:rPr>
          <w:rFonts w:asciiTheme="majorHAnsi" w:hAnsiTheme="majorHAnsi"/>
          <w:lang w:val="en-US" w:eastAsia="ko-KR"/>
        </w:rPr>
        <w:t xml:space="preserve"> </w:t>
      </w:r>
      <w:proofErr w:type="spellStart"/>
      <w:r w:rsidRPr="00390A4F">
        <w:rPr>
          <w:rFonts w:asciiTheme="majorHAnsi" w:hAnsiTheme="majorHAnsi"/>
          <w:lang w:val="en-US" w:eastAsia="ko-KR"/>
        </w:rPr>
        <w:t>Ediyor</w:t>
      </w:r>
      <w:proofErr w:type="spellEnd"/>
    </w:p>
    <w:p w:rsidR="00D645C4" w:rsidRDefault="00D645C4" w:rsidP="008005F0">
      <w:pPr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D645C4" w:rsidRPr="00B1328E" w:rsidRDefault="00D645C4" w:rsidP="008005F0">
      <w:pPr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B1328E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III-MERKEZ AĞIRLIKLI, MERKEZİN KATKISIYLA YAPILAN ÇALIŞMALARA DAYANDIRILARAK YAYINLANAN BİLİMSEL YAYINLAR</w:t>
      </w:r>
    </w:p>
    <w:p w:rsidR="00D645C4" w:rsidRDefault="00D645C4" w:rsidP="008005F0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</w:p>
    <w:p w:rsidR="00D645C4" w:rsidRDefault="00D645C4" w:rsidP="008005F0">
      <w:pPr>
        <w:spacing w:after="0" w:line="300" w:lineRule="exact"/>
        <w:jc w:val="both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Kitap</w:t>
      </w:r>
    </w:p>
    <w:p w:rsidR="00016148" w:rsidRDefault="00016148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016148" w:rsidRDefault="00E058A5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>Rodriguez,</w:t>
      </w:r>
      <w:r w:rsidR="00016148">
        <w:rPr>
          <w:rFonts w:asciiTheme="majorHAnsi" w:hAnsiTheme="majorHAnsi"/>
          <w:noProof/>
          <w:lang w:eastAsia="ko-KR"/>
        </w:rPr>
        <w:t xml:space="preserve"> C., </w:t>
      </w:r>
      <w:r w:rsidRPr="00E058A5">
        <w:rPr>
          <w:rFonts w:asciiTheme="majorHAnsi" w:hAnsiTheme="majorHAnsi"/>
          <w:noProof/>
          <w:lang w:eastAsia="ko-KR"/>
        </w:rPr>
        <w:t>Avalos,</w:t>
      </w:r>
      <w:r w:rsidR="00016148">
        <w:rPr>
          <w:rFonts w:asciiTheme="majorHAnsi" w:hAnsiTheme="majorHAnsi"/>
          <w:noProof/>
          <w:lang w:eastAsia="ko-KR"/>
        </w:rPr>
        <w:t xml:space="preserve"> A., Yı</w:t>
      </w:r>
      <w:r w:rsidRPr="00E058A5">
        <w:rPr>
          <w:rFonts w:asciiTheme="majorHAnsi" w:hAnsiTheme="majorHAnsi"/>
          <w:noProof/>
          <w:lang w:eastAsia="ko-KR"/>
        </w:rPr>
        <w:t xml:space="preserve">lmaz, </w:t>
      </w:r>
      <w:r w:rsidR="00016148">
        <w:rPr>
          <w:rFonts w:asciiTheme="majorHAnsi" w:hAnsiTheme="majorHAnsi"/>
          <w:noProof/>
          <w:lang w:eastAsia="ko-KR"/>
        </w:rPr>
        <w:t>H. Planet, A.I.</w:t>
      </w:r>
      <w:r w:rsidR="000152D0">
        <w:rPr>
          <w:rFonts w:asciiTheme="majorHAnsi" w:hAnsiTheme="majorHAnsi"/>
          <w:noProof/>
          <w:lang w:eastAsia="ko-KR"/>
        </w:rPr>
        <w:t xml:space="preserve">(editör), </w:t>
      </w:r>
      <w:r w:rsidRPr="000152D0">
        <w:rPr>
          <w:rFonts w:asciiTheme="majorHAnsi" w:hAnsiTheme="majorHAnsi"/>
          <w:i/>
          <w:noProof/>
          <w:lang w:eastAsia="ko-KR"/>
        </w:rPr>
        <w:t>Turk</w:t>
      </w:r>
      <w:r w:rsidR="000152D0" w:rsidRPr="000152D0">
        <w:rPr>
          <w:rFonts w:asciiTheme="majorHAnsi" w:hAnsiTheme="majorHAnsi"/>
          <w:i/>
          <w:noProof/>
          <w:lang w:eastAsia="ko-KR"/>
        </w:rPr>
        <w:t>ey's Democratization Process</w:t>
      </w:r>
      <w:r w:rsidR="000152D0">
        <w:rPr>
          <w:rFonts w:asciiTheme="majorHAnsi" w:hAnsiTheme="majorHAnsi"/>
          <w:noProof/>
          <w:lang w:eastAsia="ko-KR"/>
        </w:rPr>
        <w:t>,</w:t>
      </w:r>
    </w:p>
    <w:p w:rsidR="00E058A5" w:rsidRPr="00E058A5" w:rsidRDefault="00016148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Routledge, London, 2013.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</w:p>
    <w:p w:rsidR="00E058A5" w:rsidRDefault="00B1328E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Makale</w:t>
      </w:r>
    </w:p>
    <w:p w:rsidR="00B1328E" w:rsidRPr="00016148" w:rsidRDefault="00B1328E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 w:cs="InterstateLight"/>
          <w:b/>
          <w:color w:val="6E6F71"/>
        </w:rPr>
      </w:pPr>
    </w:p>
    <w:p w:rsidR="00765F29" w:rsidRDefault="00E058A5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 xml:space="preserve">Yılmaz, </w:t>
      </w:r>
      <w:r w:rsidR="00765F29">
        <w:rPr>
          <w:rFonts w:asciiTheme="majorHAnsi" w:hAnsiTheme="majorHAnsi"/>
          <w:noProof/>
          <w:lang w:eastAsia="ko-KR"/>
        </w:rPr>
        <w:t xml:space="preserve">H., </w:t>
      </w:r>
      <w:r w:rsidRPr="00E058A5">
        <w:rPr>
          <w:rFonts w:asciiTheme="majorHAnsi" w:hAnsiTheme="majorHAnsi"/>
          <w:noProof/>
          <w:lang w:eastAsia="ko-KR"/>
        </w:rPr>
        <w:t>Erdoğan</w:t>
      </w:r>
      <w:r w:rsidR="00765F29">
        <w:rPr>
          <w:rFonts w:asciiTheme="majorHAnsi" w:hAnsiTheme="majorHAnsi"/>
          <w:noProof/>
          <w:lang w:eastAsia="ko-KR"/>
        </w:rPr>
        <w:t>, E.,</w:t>
      </w:r>
      <w:r w:rsidR="000152D0">
        <w:rPr>
          <w:rFonts w:asciiTheme="majorHAnsi" w:hAnsiTheme="majorHAnsi"/>
          <w:noProof/>
          <w:lang w:eastAsia="ko-KR"/>
        </w:rPr>
        <w:t xml:space="preserve"> “</w:t>
      </w:r>
      <w:r w:rsidRPr="00E058A5">
        <w:rPr>
          <w:rFonts w:asciiTheme="majorHAnsi" w:hAnsiTheme="majorHAnsi"/>
          <w:noProof/>
          <w:lang w:eastAsia="ko-KR"/>
        </w:rPr>
        <w:t xml:space="preserve">Turkey’s ‘Culturalization’ in European Public Opinion, the Prospects of a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 xml:space="preserve">Cosmopolitan Europe and the Challenges Facing Turkey”, Published online by Institut du </w:t>
      </w:r>
      <w:r>
        <w:rPr>
          <w:rFonts w:asciiTheme="majorHAnsi" w:hAnsiTheme="majorHAnsi"/>
          <w:noProof/>
          <w:lang w:eastAsia="ko-KR"/>
        </w:rPr>
        <w:t xml:space="preserve">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 xml:space="preserve">Bosphore, Débats du Bosphore, Avenir de L'Europe – II. Available online at </w:t>
      </w:r>
      <w:r>
        <w:rPr>
          <w:rFonts w:asciiTheme="majorHAnsi" w:hAnsiTheme="majorHAnsi"/>
          <w:noProof/>
          <w:lang w:eastAsia="ko-KR"/>
        </w:rPr>
        <w:t xml:space="preserve"> </w:t>
      </w:r>
    </w:p>
    <w:p w:rsidR="00E058A5" w:rsidRP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hyperlink r:id="rId10" w:history="1">
        <w:r w:rsidR="00E058A5" w:rsidRPr="00E058A5">
          <w:rPr>
            <w:rFonts w:asciiTheme="majorHAnsi" w:hAnsiTheme="majorHAnsi"/>
            <w:noProof/>
            <w:lang w:eastAsia="ko-KR"/>
          </w:rPr>
          <w:t>http://www.institut-bosphore.org/upload/publication/898561366361917.pdf</w:t>
        </w:r>
      </w:hyperlink>
      <w:r w:rsidR="00E058A5" w:rsidRPr="00E058A5">
        <w:rPr>
          <w:rFonts w:asciiTheme="majorHAnsi" w:hAnsiTheme="majorHAnsi"/>
          <w:noProof/>
          <w:lang w:eastAsia="ko-KR"/>
        </w:rPr>
        <w:t>, 2013</w:t>
      </w:r>
      <w:r>
        <w:rPr>
          <w:rFonts w:asciiTheme="majorHAnsi" w:hAnsiTheme="majorHAnsi"/>
          <w:noProof/>
          <w:lang w:eastAsia="ko-KR"/>
        </w:rPr>
        <w:t>.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</w:p>
    <w:p w:rsidR="00765F29" w:rsidRDefault="00E058A5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 xml:space="preserve">Yılmaz, </w:t>
      </w:r>
      <w:r w:rsidR="00765F29">
        <w:rPr>
          <w:rFonts w:asciiTheme="majorHAnsi" w:hAnsiTheme="majorHAnsi"/>
          <w:noProof/>
          <w:lang w:eastAsia="ko-KR"/>
        </w:rPr>
        <w:t xml:space="preserve">H., </w:t>
      </w:r>
      <w:r w:rsidRPr="00E058A5">
        <w:rPr>
          <w:rFonts w:asciiTheme="majorHAnsi" w:hAnsiTheme="majorHAnsi"/>
          <w:noProof/>
          <w:lang w:eastAsia="ko-KR"/>
        </w:rPr>
        <w:t>Candaş</w:t>
      </w:r>
      <w:r w:rsidR="00765F29">
        <w:rPr>
          <w:rFonts w:asciiTheme="majorHAnsi" w:hAnsiTheme="majorHAnsi"/>
          <w:noProof/>
          <w:lang w:eastAsia="ko-KR"/>
        </w:rPr>
        <w:t>, A.,</w:t>
      </w:r>
      <w:r w:rsidRPr="00E058A5">
        <w:rPr>
          <w:rFonts w:asciiTheme="majorHAnsi" w:hAnsiTheme="majorHAnsi"/>
          <w:noProof/>
          <w:lang w:eastAsia="ko-KR"/>
        </w:rPr>
        <w:t xml:space="preserve"> “The Paradox of Equality: Subjective Attitudes Towards basic Rights in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0152D0">
        <w:rPr>
          <w:rFonts w:asciiTheme="majorHAnsi" w:hAnsiTheme="majorHAnsi"/>
          <w:noProof/>
          <w:lang w:eastAsia="ko-KR"/>
        </w:rPr>
        <w:t xml:space="preserve">Turkey”, </w:t>
      </w:r>
      <w:r w:rsidR="00E058A5" w:rsidRPr="000152D0">
        <w:rPr>
          <w:rFonts w:asciiTheme="majorHAnsi" w:hAnsiTheme="majorHAnsi"/>
          <w:i/>
          <w:noProof/>
          <w:lang w:eastAsia="ko-KR"/>
        </w:rPr>
        <w:t>In Turkey's Democratization Process</w:t>
      </w:r>
      <w:r w:rsidR="00E058A5" w:rsidRPr="00E058A5">
        <w:rPr>
          <w:rFonts w:asciiTheme="majorHAnsi" w:hAnsiTheme="majorHAnsi"/>
          <w:noProof/>
          <w:lang w:eastAsia="ko-KR"/>
        </w:rPr>
        <w:t xml:space="preserve">, </w:t>
      </w:r>
      <w:r w:rsidR="000152D0">
        <w:rPr>
          <w:rFonts w:asciiTheme="majorHAnsi" w:hAnsiTheme="majorHAnsi"/>
          <w:noProof/>
          <w:lang w:eastAsia="ko-KR"/>
        </w:rPr>
        <w:t>Editör(ler): C. Rodriguez; A. Avalos;</w:t>
      </w:r>
    </w:p>
    <w:p w:rsidR="00E058A5" w:rsidRP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0152D0">
        <w:rPr>
          <w:rFonts w:asciiTheme="majorHAnsi" w:hAnsiTheme="majorHAnsi"/>
          <w:noProof/>
          <w:lang w:eastAsia="ko-KR"/>
        </w:rPr>
        <w:t>H. Yılmaz; A.</w:t>
      </w:r>
      <w:r w:rsidR="00E058A5" w:rsidRPr="00E058A5">
        <w:rPr>
          <w:rFonts w:asciiTheme="majorHAnsi" w:hAnsiTheme="majorHAnsi"/>
          <w:noProof/>
          <w:lang w:eastAsia="ko-KR"/>
        </w:rPr>
        <w:t xml:space="preserve">I. Planet, London: Routledge, pp.330-344, 2013. </w:t>
      </w:r>
    </w:p>
    <w:p w:rsidR="009914CC" w:rsidRDefault="009914CC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765F29" w:rsidRDefault="00B1328E" w:rsidP="008005F0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Bildiri</w:t>
      </w:r>
    </w:p>
    <w:p w:rsidR="00B1328E" w:rsidRDefault="00B1328E" w:rsidP="008005F0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765F29" w:rsidRDefault="00E058A5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 xml:space="preserve">Yılmaz, </w:t>
      </w:r>
      <w:r w:rsidR="00765F29">
        <w:rPr>
          <w:rFonts w:asciiTheme="majorHAnsi" w:hAnsiTheme="majorHAnsi"/>
          <w:noProof/>
          <w:lang w:eastAsia="ko-KR"/>
        </w:rPr>
        <w:t>H.,</w:t>
      </w:r>
      <w:r w:rsidRPr="00E058A5">
        <w:rPr>
          <w:rFonts w:asciiTheme="majorHAnsi" w:hAnsiTheme="majorHAnsi"/>
          <w:noProof/>
          <w:lang w:eastAsia="ko-KR"/>
        </w:rPr>
        <w:t xml:space="preserve">“Religious Freedom and Secularism: The Turkish </w:t>
      </w:r>
      <w:r w:rsidR="000152D0">
        <w:rPr>
          <w:rFonts w:asciiTheme="majorHAnsi" w:hAnsiTheme="majorHAnsi"/>
          <w:noProof/>
          <w:lang w:eastAsia="ko-KR"/>
        </w:rPr>
        <w:t xml:space="preserve">Experiment”, </w:t>
      </w:r>
      <w:r w:rsidR="00765F29">
        <w:rPr>
          <w:rFonts w:asciiTheme="majorHAnsi" w:hAnsiTheme="majorHAnsi"/>
          <w:noProof/>
          <w:lang w:eastAsia="ko-KR"/>
        </w:rPr>
        <w:t xml:space="preserve">Talk given at the </w:t>
      </w:r>
    </w:p>
    <w:p w:rsidR="00765F29" w:rsidRDefault="00765F29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C</w:t>
      </w:r>
      <w:r w:rsidR="00E058A5" w:rsidRPr="00E058A5">
        <w:rPr>
          <w:rFonts w:asciiTheme="majorHAnsi" w:hAnsiTheme="majorHAnsi"/>
          <w:noProof/>
          <w:lang w:eastAsia="ko-KR"/>
        </w:rPr>
        <w:t>on</w:t>
      </w:r>
      <w:r>
        <w:rPr>
          <w:rFonts w:asciiTheme="majorHAnsi" w:hAnsiTheme="majorHAnsi"/>
          <w:noProof/>
          <w:lang w:eastAsia="ko-KR"/>
        </w:rPr>
        <w:t>ference E</w:t>
      </w:r>
      <w:r w:rsidR="00E058A5" w:rsidRPr="00E058A5">
        <w:rPr>
          <w:rFonts w:asciiTheme="majorHAnsi" w:hAnsiTheme="majorHAnsi"/>
          <w:noProof/>
          <w:lang w:eastAsia="ko-KR"/>
        </w:rPr>
        <w:t>ntitled “Dialogue</w:t>
      </w:r>
      <w:r w:rsidR="000152D0">
        <w:rPr>
          <w:rFonts w:asciiTheme="majorHAnsi" w:hAnsiTheme="majorHAnsi"/>
          <w:noProof/>
          <w:lang w:eastAsia="ko-KR"/>
        </w:rPr>
        <w:t xml:space="preserve"> and Contemporary Secularism”, </w:t>
      </w:r>
      <w:r w:rsidR="00E058A5" w:rsidRPr="00E058A5">
        <w:rPr>
          <w:rFonts w:asciiTheme="majorHAnsi" w:hAnsiTheme="majorHAnsi"/>
          <w:noProof/>
          <w:lang w:eastAsia="ko-KR"/>
        </w:rPr>
        <w:t xml:space="preserve">Organized by the Gregorian </w:t>
      </w:r>
    </w:p>
    <w:p w:rsidR="00765F29" w:rsidRDefault="00765F29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University, the Tony Blair Faith Foundation and the Pontifical Counc</w:t>
      </w:r>
      <w:r w:rsidR="006873FA">
        <w:rPr>
          <w:rFonts w:asciiTheme="majorHAnsi" w:hAnsiTheme="majorHAnsi"/>
          <w:noProof/>
          <w:lang w:eastAsia="ko-KR"/>
        </w:rPr>
        <w:t xml:space="preserve">il for Culture, </w:t>
      </w:r>
      <w:r w:rsidR="00E058A5" w:rsidRPr="00E058A5">
        <w:rPr>
          <w:rFonts w:asciiTheme="majorHAnsi" w:hAnsiTheme="majorHAnsi"/>
          <w:noProof/>
          <w:lang w:eastAsia="ko-KR"/>
        </w:rPr>
        <w:t xml:space="preserve">Rome, </w:t>
      </w:r>
    </w:p>
    <w:p w:rsidR="00E058A5" w:rsidRPr="00765F29" w:rsidRDefault="00765F29" w:rsidP="008005F0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Italy, 28 February-3 March 2013.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</w:p>
    <w:p w:rsidR="00765F29" w:rsidRDefault="00E058A5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>Yılmaz,</w:t>
      </w:r>
      <w:r w:rsidR="00765F29">
        <w:rPr>
          <w:rFonts w:asciiTheme="majorHAnsi" w:hAnsiTheme="majorHAnsi"/>
          <w:noProof/>
          <w:lang w:eastAsia="ko-KR"/>
        </w:rPr>
        <w:t xml:space="preserve"> H., </w:t>
      </w:r>
      <w:r w:rsidRPr="00E058A5">
        <w:rPr>
          <w:rFonts w:asciiTheme="majorHAnsi" w:hAnsiTheme="majorHAnsi"/>
          <w:noProof/>
          <w:lang w:eastAsia="ko-KR"/>
        </w:rPr>
        <w:t>“Euroskepticism in Turkey: Comparisons betw</w:t>
      </w:r>
      <w:r w:rsidR="000152D0">
        <w:rPr>
          <w:rFonts w:asciiTheme="majorHAnsi" w:hAnsiTheme="majorHAnsi"/>
          <w:noProof/>
          <w:lang w:eastAsia="ko-KR"/>
        </w:rPr>
        <w:t xml:space="preserve">een the 2003 and 2012 Surveys”, </w:t>
      </w:r>
      <w:r w:rsidRPr="00E058A5">
        <w:rPr>
          <w:rFonts w:asciiTheme="majorHAnsi" w:hAnsiTheme="majorHAnsi"/>
          <w:noProof/>
          <w:lang w:eastAsia="ko-KR"/>
        </w:rPr>
        <w:t xml:space="preserve">Talk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given at the Center for European Studies, Mi</w:t>
      </w:r>
      <w:r w:rsidR="000152D0">
        <w:rPr>
          <w:rFonts w:asciiTheme="majorHAnsi" w:hAnsiTheme="majorHAnsi"/>
          <w:noProof/>
          <w:lang w:eastAsia="ko-KR"/>
        </w:rPr>
        <w:t xml:space="preserve">ddle East Technical University, </w:t>
      </w:r>
      <w:r w:rsidR="00E058A5" w:rsidRPr="00E058A5">
        <w:rPr>
          <w:rFonts w:asciiTheme="majorHAnsi" w:hAnsiTheme="majorHAnsi"/>
          <w:noProof/>
          <w:lang w:eastAsia="ko-KR"/>
        </w:rPr>
        <w:t xml:space="preserve">Ankara, 8 </w:t>
      </w:r>
    </w:p>
    <w:p w:rsidR="00E058A5" w:rsidRP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lastRenderedPageBreak/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March 2013.</w:t>
      </w:r>
    </w:p>
    <w:p w:rsidR="00E058A5" w:rsidRPr="00E058A5" w:rsidRDefault="00E058A5" w:rsidP="008005F0">
      <w:pPr>
        <w:pStyle w:val="ListeParagraf"/>
        <w:spacing w:line="300" w:lineRule="exact"/>
        <w:rPr>
          <w:rFonts w:asciiTheme="majorHAnsi" w:eastAsiaTheme="minorHAnsi" w:hAnsiTheme="majorHAnsi"/>
          <w:noProof/>
          <w:lang w:eastAsia="ko-KR"/>
        </w:rPr>
      </w:pP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>Yılmaz,</w:t>
      </w:r>
      <w:r>
        <w:rPr>
          <w:rFonts w:asciiTheme="majorHAnsi" w:hAnsiTheme="majorHAnsi"/>
          <w:noProof/>
          <w:lang w:eastAsia="ko-KR"/>
        </w:rPr>
        <w:t xml:space="preserve"> H.</w:t>
      </w:r>
      <w:r w:rsidR="00E058A5" w:rsidRPr="00E058A5">
        <w:rPr>
          <w:rFonts w:asciiTheme="majorHAnsi" w:hAnsiTheme="majorHAnsi"/>
          <w:noProof/>
          <w:lang w:eastAsia="ko-KR"/>
        </w:rPr>
        <w:t>, “Turkey and Europe: P</w:t>
      </w:r>
      <w:r w:rsidR="000152D0">
        <w:rPr>
          <w:rFonts w:asciiTheme="majorHAnsi" w:hAnsiTheme="majorHAnsi"/>
          <w:noProof/>
          <w:lang w:eastAsia="ko-KR"/>
        </w:rPr>
        <w:t xml:space="preserve">erceptions and Misperceptions”, </w:t>
      </w:r>
      <w:r w:rsidR="00E058A5" w:rsidRPr="00E058A5">
        <w:rPr>
          <w:rFonts w:asciiTheme="majorHAnsi" w:hAnsiTheme="majorHAnsi"/>
          <w:noProof/>
          <w:lang w:eastAsia="ko-KR"/>
        </w:rPr>
        <w:t xml:space="preserve">Talk given at the </w:t>
      </w:r>
      <w:r>
        <w:rPr>
          <w:rFonts w:asciiTheme="majorHAnsi" w:hAnsiTheme="majorHAnsi"/>
          <w:noProof/>
          <w:lang w:eastAsia="ko-KR"/>
        </w:rPr>
        <w:t>C</w:t>
      </w:r>
      <w:r w:rsidR="00E058A5" w:rsidRPr="00E058A5">
        <w:rPr>
          <w:rFonts w:asciiTheme="majorHAnsi" w:hAnsiTheme="majorHAnsi"/>
          <w:noProof/>
          <w:lang w:eastAsia="ko-KR"/>
        </w:rPr>
        <w:t xml:space="preserve">onference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E</w:t>
      </w:r>
      <w:r w:rsidR="00E058A5" w:rsidRPr="00E058A5">
        <w:rPr>
          <w:rFonts w:asciiTheme="majorHAnsi" w:hAnsiTheme="majorHAnsi"/>
          <w:noProof/>
          <w:lang w:eastAsia="ko-KR"/>
        </w:rPr>
        <w:t>ntitled “Turkey and Europe: Drifting Apa</w:t>
      </w:r>
      <w:r w:rsidR="000152D0">
        <w:rPr>
          <w:rFonts w:asciiTheme="majorHAnsi" w:hAnsiTheme="majorHAnsi"/>
          <w:noProof/>
          <w:lang w:eastAsia="ko-KR"/>
        </w:rPr>
        <w:t xml:space="preserve">rt”, </w:t>
      </w:r>
      <w:r w:rsidR="00E058A5" w:rsidRPr="00E058A5">
        <w:rPr>
          <w:rFonts w:asciiTheme="majorHAnsi" w:hAnsiTheme="majorHAnsi"/>
          <w:noProof/>
          <w:lang w:eastAsia="ko-KR"/>
        </w:rPr>
        <w:t>Organized by Insight Turkey 3</w:t>
      </w:r>
      <w:r w:rsidR="00E058A5" w:rsidRPr="00765F29">
        <w:rPr>
          <w:rFonts w:asciiTheme="majorHAnsi" w:hAnsiTheme="majorHAnsi"/>
          <w:noProof/>
          <w:vertAlign w:val="superscript"/>
          <w:lang w:eastAsia="ko-KR"/>
        </w:rPr>
        <w:t>rd</w:t>
      </w:r>
      <w:r w:rsidR="00E058A5" w:rsidRPr="00E058A5">
        <w:rPr>
          <w:rFonts w:asciiTheme="majorHAnsi" w:hAnsiTheme="majorHAnsi"/>
          <w:noProof/>
          <w:lang w:eastAsia="ko-KR"/>
        </w:rPr>
        <w:t xml:space="preserve"> Annual </w:t>
      </w:r>
    </w:p>
    <w:p w:rsid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Conference.  Brussels, Belgium, 25 March 2013.</w:t>
      </w:r>
    </w:p>
    <w:p w:rsidR="00B1328E" w:rsidRPr="00E058A5" w:rsidRDefault="00B1328E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>Yılmaz,</w:t>
      </w:r>
      <w:r>
        <w:rPr>
          <w:rFonts w:asciiTheme="majorHAnsi" w:hAnsiTheme="majorHAnsi"/>
          <w:noProof/>
          <w:lang w:eastAsia="ko-KR"/>
        </w:rPr>
        <w:t xml:space="preserve"> H.</w:t>
      </w:r>
      <w:r w:rsidRPr="00E058A5">
        <w:rPr>
          <w:rFonts w:asciiTheme="majorHAnsi" w:hAnsiTheme="majorHAnsi"/>
          <w:noProof/>
          <w:lang w:eastAsia="ko-KR"/>
        </w:rPr>
        <w:t xml:space="preserve">, </w:t>
      </w:r>
      <w:r w:rsidR="00E058A5" w:rsidRPr="00E058A5">
        <w:rPr>
          <w:rFonts w:asciiTheme="majorHAnsi" w:hAnsiTheme="majorHAnsi"/>
          <w:noProof/>
          <w:lang w:eastAsia="ko-KR"/>
        </w:rPr>
        <w:t>“Turkey and Europe: Possibi</w:t>
      </w:r>
      <w:r w:rsidR="000152D0">
        <w:rPr>
          <w:rFonts w:asciiTheme="majorHAnsi" w:hAnsiTheme="majorHAnsi"/>
          <w:noProof/>
          <w:lang w:eastAsia="ko-KR"/>
        </w:rPr>
        <w:t xml:space="preserve">lities for Cultural Diplomacy”, </w:t>
      </w:r>
      <w:r w:rsidR="00E058A5" w:rsidRPr="00E058A5">
        <w:rPr>
          <w:rFonts w:asciiTheme="majorHAnsi" w:hAnsiTheme="majorHAnsi"/>
          <w:noProof/>
          <w:lang w:eastAsia="ko-KR"/>
        </w:rPr>
        <w:t xml:space="preserve">Talk given at the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C</w:t>
      </w:r>
      <w:r w:rsidR="00E058A5" w:rsidRPr="00E058A5">
        <w:rPr>
          <w:rFonts w:asciiTheme="majorHAnsi" w:hAnsiTheme="majorHAnsi"/>
          <w:noProof/>
          <w:lang w:eastAsia="ko-KR"/>
        </w:rPr>
        <w:t xml:space="preserve">onference </w:t>
      </w:r>
      <w:r>
        <w:rPr>
          <w:rFonts w:asciiTheme="majorHAnsi" w:hAnsiTheme="majorHAnsi"/>
          <w:noProof/>
          <w:lang w:eastAsia="ko-KR"/>
        </w:rPr>
        <w:t>E</w:t>
      </w:r>
      <w:r w:rsidR="00E058A5" w:rsidRPr="00E058A5">
        <w:rPr>
          <w:rFonts w:asciiTheme="majorHAnsi" w:hAnsiTheme="majorHAnsi"/>
          <w:noProof/>
          <w:lang w:eastAsia="ko-KR"/>
        </w:rPr>
        <w:t xml:space="preserve">ntitled “The Role of Cultural Diplomacy in Promoting Understanding and </w:t>
      </w:r>
    </w:p>
    <w:p w:rsidR="00E058A5" w:rsidRP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0152D0">
        <w:rPr>
          <w:rFonts w:asciiTheme="majorHAnsi" w:hAnsiTheme="majorHAnsi"/>
          <w:noProof/>
          <w:lang w:eastAsia="ko-KR"/>
        </w:rPr>
        <w:t xml:space="preserve">Reconciliation”, </w:t>
      </w:r>
      <w:r w:rsidR="00E058A5" w:rsidRPr="00E058A5">
        <w:rPr>
          <w:rFonts w:asciiTheme="majorHAnsi" w:hAnsiTheme="majorHAnsi"/>
          <w:noProof/>
          <w:lang w:eastAsia="ko-KR"/>
        </w:rPr>
        <w:t>Organized by OSCE Talks 2013, Goethe Institut, Istanbul, 2 May 2013.</w:t>
      </w:r>
    </w:p>
    <w:p w:rsidR="00E058A5" w:rsidRPr="00E058A5" w:rsidRDefault="00E058A5" w:rsidP="008005F0">
      <w:pPr>
        <w:pStyle w:val="ListeParagraf"/>
        <w:spacing w:line="300" w:lineRule="exact"/>
        <w:rPr>
          <w:rFonts w:asciiTheme="majorHAnsi" w:eastAsiaTheme="minorHAnsi" w:hAnsiTheme="majorHAnsi"/>
          <w:noProof/>
          <w:lang w:eastAsia="ko-KR"/>
        </w:rPr>
      </w:pP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 w:rsidRPr="00E058A5">
        <w:rPr>
          <w:rFonts w:asciiTheme="majorHAnsi" w:hAnsiTheme="majorHAnsi"/>
          <w:noProof/>
          <w:lang w:eastAsia="ko-KR"/>
        </w:rPr>
        <w:t>Yılmaz,</w:t>
      </w:r>
      <w:r>
        <w:rPr>
          <w:rFonts w:asciiTheme="majorHAnsi" w:hAnsiTheme="majorHAnsi"/>
          <w:noProof/>
          <w:lang w:eastAsia="ko-KR"/>
        </w:rPr>
        <w:t xml:space="preserve"> H.</w:t>
      </w:r>
      <w:r w:rsidR="00E058A5" w:rsidRPr="00E058A5">
        <w:rPr>
          <w:rFonts w:asciiTheme="majorHAnsi" w:hAnsiTheme="majorHAnsi"/>
          <w:noProof/>
          <w:lang w:eastAsia="ko-KR"/>
        </w:rPr>
        <w:t>, “The Culturalization of Turkey i</w:t>
      </w:r>
      <w:r w:rsidR="000152D0">
        <w:rPr>
          <w:rFonts w:asciiTheme="majorHAnsi" w:hAnsiTheme="majorHAnsi"/>
          <w:noProof/>
          <w:lang w:eastAsia="ko-KR"/>
        </w:rPr>
        <w:t xml:space="preserve">n the European Public Opinion”, </w:t>
      </w:r>
      <w:r w:rsidR="00E058A5" w:rsidRPr="00E058A5">
        <w:rPr>
          <w:rFonts w:asciiTheme="majorHAnsi" w:hAnsiTheme="majorHAnsi"/>
          <w:noProof/>
          <w:lang w:eastAsia="ko-KR"/>
        </w:rPr>
        <w:t xml:space="preserve">Talk given at the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C</w:t>
      </w:r>
      <w:r w:rsidR="00E058A5" w:rsidRPr="00E058A5">
        <w:rPr>
          <w:rFonts w:asciiTheme="majorHAnsi" w:hAnsiTheme="majorHAnsi"/>
          <w:noProof/>
          <w:lang w:eastAsia="ko-KR"/>
        </w:rPr>
        <w:t xml:space="preserve">onference </w:t>
      </w:r>
      <w:r>
        <w:rPr>
          <w:rFonts w:asciiTheme="majorHAnsi" w:hAnsiTheme="majorHAnsi"/>
          <w:noProof/>
          <w:lang w:eastAsia="ko-KR"/>
        </w:rPr>
        <w:t>E</w:t>
      </w:r>
      <w:r w:rsidR="00E058A5" w:rsidRPr="00E058A5">
        <w:rPr>
          <w:rFonts w:asciiTheme="majorHAnsi" w:hAnsiTheme="majorHAnsi"/>
          <w:noProof/>
          <w:lang w:eastAsia="ko-KR"/>
        </w:rPr>
        <w:t>ntitled “2</w:t>
      </w:r>
      <w:r w:rsidR="00E058A5" w:rsidRPr="00765F29">
        <w:rPr>
          <w:rFonts w:asciiTheme="majorHAnsi" w:hAnsiTheme="majorHAnsi"/>
          <w:noProof/>
          <w:vertAlign w:val="superscript"/>
          <w:lang w:eastAsia="ko-KR"/>
        </w:rPr>
        <w:t>nd</w:t>
      </w:r>
      <w:r w:rsidR="00E058A5" w:rsidRPr="00E058A5">
        <w:rPr>
          <w:rFonts w:asciiTheme="majorHAnsi" w:hAnsiTheme="majorHAnsi"/>
          <w:noProof/>
          <w:lang w:eastAsia="ko-KR"/>
        </w:rPr>
        <w:t xml:space="preserve"> Baku World Forum on Intercultural Dialogue: Living Together </w:t>
      </w:r>
    </w:p>
    <w:p w:rsidR="00765F29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>P</w:t>
      </w:r>
      <w:r w:rsidR="000152D0">
        <w:rPr>
          <w:rFonts w:asciiTheme="majorHAnsi" w:hAnsiTheme="majorHAnsi"/>
          <w:noProof/>
          <w:lang w:eastAsia="ko-KR"/>
        </w:rPr>
        <w:t xml:space="preserve">eacefully in a Diverse World”, </w:t>
      </w:r>
      <w:r w:rsidR="00E058A5" w:rsidRPr="00E058A5">
        <w:rPr>
          <w:rFonts w:asciiTheme="majorHAnsi" w:hAnsiTheme="majorHAnsi"/>
          <w:noProof/>
          <w:lang w:eastAsia="ko-KR"/>
        </w:rPr>
        <w:t xml:space="preserve">Organized by United Nations Alliance of Civilizations OSCE </w:t>
      </w:r>
    </w:p>
    <w:p w:rsidR="00E058A5" w:rsidRPr="00E058A5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lang w:eastAsia="ko-KR"/>
        </w:rPr>
      </w:pPr>
      <w:r>
        <w:rPr>
          <w:rFonts w:asciiTheme="majorHAnsi" w:hAnsiTheme="majorHAnsi"/>
          <w:noProof/>
          <w:lang w:eastAsia="ko-KR"/>
        </w:rPr>
        <w:t xml:space="preserve">          </w:t>
      </w:r>
      <w:r w:rsidR="00E058A5" w:rsidRPr="00E058A5">
        <w:rPr>
          <w:rFonts w:asciiTheme="majorHAnsi" w:hAnsiTheme="majorHAnsi"/>
          <w:noProof/>
          <w:lang w:eastAsia="ko-KR"/>
        </w:rPr>
        <w:t xml:space="preserve">Talks 2013, Baku, Azerbaijan, 29 May-1 June 2013. </w:t>
      </w:r>
    </w:p>
    <w:p w:rsidR="00C81D77" w:rsidRDefault="00C81D77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</w:pPr>
    </w:p>
    <w:p w:rsidR="00765F29" w:rsidRDefault="00E058A5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="InterstateLight"/>
          <w:bCs w:val="0"/>
          <w:color w:val="6E6F71"/>
          <w:sz w:val="22"/>
          <w:szCs w:val="22"/>
          <w:lang w:eastAsia="en-US"/>
        </w:rPr>
      </w:pPr>
      <w:r w:rsidRPr="00765F29">
        <w:rPr>
          <w:rFonts w:eastAsiaTheme="minorHAnsi" w:cs="InterstateLight"/>
          <w:bCs w:val="0"/>
          <w:color w:val="6E6F71"/>
          <w:sz w:val="22"/>
          <w:szCs w:val="22"/>
          <w:lang w:eastAsia="en-US"/>
        </w:rPr>
        <w:t>Araştırma Raporu</w:t>
      </w:r>
    </w:p>
    <w:p w:rsidR="00B1328E" w:rsidRPr="00B1328E" w:rsidRDefault="00B1328E" w:rsidP="00B1328E"/>
    <w:p w:rsidR="00765F29" w:rsidRDefault="000152D0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</w:pPr>
      <w:r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</w:t>
      </w:r>
      <w:r w:rsidR="00E058A5" w:rsidRPr="00E058A5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>Başer,</w:t>
      </w:r>
      <w:r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B., </w:t>
      </w:r>
      <w:hyperlink r:id="rId11" w:history="1">
        <w:r w:rsidR="00765F29" w:rsidRPr="00765F29">
          <w:rPr>
            <w:rFonts w:eastAsiaTheme="minorHAnsi" w:cstheme="minorBidi"/>
            <w:b w:val="0"/>
            <w:bCs w:val="0"/>
            <w:noProof/>
            <w:color w:val="auto"/>
            <w:sz w:val="22"/>
            <w:szCs w:val="22"/>
            <w:lang w:eastAsia="ko-KR"/>
          </w:rPr>
          <w:t>The Kurdish Diaspora in Europe: Identity Formation and Political Activism</w:t>
        </w:r>
      </w:hyperlink>
      <w:r w:rsidR="00E058A5" w:rsidRPr="00E058A5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, </w:t>
      </w:r>
      <w:r w:rsidR="00765F29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  </w:t>
      </w:r>
    </w:p>
    <w:p w:rsidR="00C81D77" w:rsidRDefault="00765F29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</w:pPr>
      <w:r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         </w:t>
      </w:r>
      <w:r w:rsidR="00E058A5" w:rsidRPr="00E058A5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>TÜSİAD, 2013-RR01,2013.</w:t>
      </w:r>
    </w:p>
    <w:p w:rsidR="009914CC" w:rsidRDefault="009914CC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ko-KR"/>
        </w:rPr>
      </w:pPr>
    </w:p>
    <w:p w:rsidR="000152D0" w:rsidRDefault="009E4912" w:rsidP="000152D0">
      <w:pPr>
        <w:pStyle w:val="Balk1"/>
        <w:shd w:val="clear" w:color="auto" w:fill="FFFFFF"/>
        <w:spacing w:before="0" w:line="300" w:lineRule="exact"/>
        <w:textAlignment w:val="baseline"/>
        <w:rPr>
          <w:rFonts w:ascii="Cambria" w:eastAsia="Calibri" w:hAnsi="Cambria" w:cs="Times New Roman"/>
          <w:bCs w:val="0"/>
          <w:color w:val="808080"/>
          <w:lang w:eastAsia="tr-TR"/>
        </w:rPr>
      </w:pPr>
      <w:r w:rsidRPr="00B1328E">
        <w:rPr>
          <w:rFonts w:ascii="Cambria" w:eastAsia="Calibri" w:hAnsi="Cambria" w:cs="Times New Roman"/>
          <w:bCs w:val="0"/>
          <w:color w:val="808080"/>
          <w:lang w:eastAsia="tr-TR"/>
        </w:rPr>
        <w:t>IV-</w:t>
      </w:r>
      <w:r w:rsidR="00B1328E">
        <w:rPr>
          <w:rFonts w:ascii="Cambria" w:eastAsia="Calibri" w:hAnsi="Cambria" w:cs="Times New Roman"/>
          <w:bCs w:val="0"/>
          <w:color w:val="808080"/>
          <w:lang w:eastAsia="tr-TR"/>
        </w:rPr>
        <w:t>MERKEZ’İ</w:t>
      </w:r>
      <w:r w:rsidR="00886514" w:rsidRPr="00B1328E">
        <w:rPr>
          <w:rFonts w:ascii="Cambria" w:eastAsia="Calibri" w:hAnsi="Cambria" w:cs="Times New Roman"/>
          <w:bCs w:val="0"/>
          <w:color w:val="808080"/>
          <w:lang w:eastAsia="tr-TR"/>
        </w:rPr>
        <w:t>N 2014 YILI İÇIN YILLIK ÇALIŞMA PROGRAMI</w:t>
      </w:r>
    </w:p>
    <w:p w:rsidR="000152D0" w:rsidRPr="000152D0" w:rsidRDefault="000152D0" w:rsidP="000152D0">
      <w:pPr>
        <w:spacing w:after="0" w:line="300" w:lineRule="exact"/>
        <w:rPr>
          <w:lang w:eastAsia="tr-TR"/>
        </w:rPr>
      </w:pPr>
    </w:p>
    <w:p w:rsidR="000152D0" w:rsidRPr="00FB27A4" w:rsidRDefault="000152D0" w:rsidP="000152D0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FB27A4">
        <w:rPr>
          <w:rFonts w:asciiTheme="majorHAnsi" w:hAnsiTheme="majorHAnsi"/>
          <w:b/>
          <w:color w:val="808080" w:themeColor="background1" w:themeShade="80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4361"/>
        <w:gridCol w:w="2693"/>
      </w:tblGrid>
      <w:tr w:rsidR="000152D0" w:rsidRPr="007365A0" w:rsidTr="0001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0152D0" w:rsidRPr="005D7C1F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Kriterler</w:t>
            </w:r>
          </w:p>
        </w:tc>
        <w:tc>
          <w:tcPr>
            <w:tcW w:w="2693" w:type="dxa"/>
          </w:tcPr>
          <w:p w:rsidR="000152D0" w:rsidRPr="005D7C1F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Sayısal Hedef</w:t>
            </w:r>
          </w:p>
        </w:tc>
      </w:tr>
      <w:tr w:rsidR="000152D0" w:rsidRPr="007365A0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0152D0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="Calibri" w:cs="InterstateLight"/>
                <w:b w:val="0"/>
                <w:lang w:val="de-DE"/>
              </w:rPr>
            </w:pPr>
            <w:r w:rsidRPr="000152D0">
              <w:rPr>
                <w:b w:val="0"/>
                <w:noProof/>
                <w:lang w:eastAsia="ko-KR"/>
              </w:rPr>
              <w:t>Konferans</w:t>
            </w:r>
          </w:p>
        </w:tc>
        <w:tc>
          <w:tcPr>
            <w:tcW w:w="2693" w:type="dxa"/>
            <w:vAlign w:val="center"/>
          </w:tcPr>
          <w:p w:rsidR="000152D0" w:rsidRPr="007365A0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lang w:val="de-DE"/>
              </w:rPr>
            </w:pPr>
            <w:r>
              <w:rPr>
                <w:rFonts w:asciiTheme="majorHAnsi" w:eastAsia="Calibri" w:hAnsiTheme="majorHAnsi" w:cs="InterstateLight"/>
                <w:lang w:val="de-DE"/>
              </w:rPr>
              <w:t>2</w:t>
            </w:r>
          </w:p>
        </w:tc>
      </w:tr>
      <w:tr w:rsidR="000152D0" w:rsidRPr="007365A0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0152D0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lang w:eastAsia="ko-KR"/>
              </w:rPr>
            </w:pPr>
            <w:r w:rsidRPr="000152D0">
              <w:rPr>
                <w:b w:val="0"/>
                <w:noProof/>
                <w:lang w:eastAsia="ko-KR"/>
              </w:rPr>
              <w:t>Seminer</w:t>
            </w:r>
          </w:p>
        </w:tc>
        <w:tc>
          <w:tcPr>
            <w:tcW w:w="2693" w:type="dxa"/>
            <w:vAlign w:val="center"/>
          </w:tcPr>
          <w:p w:rsidR="000152D0" w:rsidRPr="007365A0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lang w:val="de-DE"/>
              </w:rPr>
            </w:pPr>
            <w:r>
              <w:rPr>
                <w:rFonts w:asciiTheme="majorHAnsi" w:eastAsia="Calibri" w:hAnsiTheme="majorHAnsi" w:cs="InterstateLight"/>
                <w:lang w:val="de-DE"/>
              </w:rPr>
              <w:t>4</w:t>
            </w:r>
          </w:p>
        </w:tc>
      </w:tr>
      <w:tr w:rsidR="000152D0" w:rsidRPr="007365A0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0152D0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lang w:eastAsia="ko-KR"/>
              </w:rPr>
            </w:pPr>
            <w:r w:rsidRPr="000152D0">
              <w:rPr>
                <w:b w:val="0"/>
                <w:noProof/>
                <w:lang w:eastAsia="ko-KR"/>
              </w:rPr>
              <w:t>Çalıştay</w:t>
            </w:r>
          </w:p>
        </w:tc>
        <w:tc>
          <w:tcPr>
            <w:tcW w:w="2693" w:type="dxa"/>
            <w:vAlign w:val="center"/>
          </w:tcPr>
          <w:p w:rsidR="000152D0" w:rsidRPr="007365A0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lang w:val="de-DE"/>
              </w:rPr>
            </w:pPr>
            <w:r>
              <w:rPr>
                <w:rFonts w:asciiTheme="majorHAnsi" w:eastAsia="Calibri" w:hAnsiTheme="majorHAnsi" w:cs="InterstateLight"/>
                <w:lang w:val="de-DE"/>
              </w:rPr>
              <w:t>2</w:t>
            </w:r>
          </w:p>
        </w:tc>
      </w:tr>
      <w:tr w:rsidR="000152D0" w:rsidRPr="007365A0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0152D0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lang w:eastAsia="ko-KR"/>
              </w:rPr>
            </w:pPr>
            <w:r w:rsidRPr="000152D0">
              <w:rPr>
                <w:b w:val="0"/>
                <w:noProof/>
                <w:lang w:eastAsia="ko-KR"/>
              </w:rPr>
              <w:t>Yayın</w:t>
            </w:r>
          </w:p>
        </w:tc>
        <w:tc>
          <w:tcPr>
            <w:tcW w:w="2693" w:type="dxa"/>
            <w:vAlign w:val="center"/>
          </w:tcPr>
          <w:p w:rsidR="000152D0" w:rsidRPr="007365A0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lang w:val="de-DE"/>
              </w:rPr>
            </w:pPr>
            <w:r>
              <w:rPr>
                <w:rFonts w:asciiTheme="majorHAnsi" w:eastAsia="Calibri" w:hAnsiTheme="majorHAnsi" w:cs="InterstateLight"/>
                <w:lang w:val="de-DE"/>
              </w:rPr>
              <w:t>1</w:t>
            </w:r>
          </w:p>
        </w:tc>
      </w:tr>
    </w:tbl>
    <w:p w:rsidR="008468A1" w:rsidRPr="00EA0FF5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8468A1" w:rsidRPr="00EA0FF5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532361" w:rsidRPr="00EA0FF5" w:rsidRDefault="00532361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  <w:bookmarkStart w:id="0" w:name="_GoBack"/>
      <w:bookmarkEnd w:id="0"/>
    </w:p>
    <w:sectPr w:rsidR="00532361" w:rsidRPr="00EA0FF5" w:rsidSect="00D9381D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1C" w:rsidRDefault="00A67D1C" w:rsidP="00D9381D">
      <w:pPr>
        <w:spacing w:after="0" w:line="240" w:lineRule="auto"/>
      </w:pPr>
      <w:r>
        <w:separator/>
      </w:r>
    </w:p>
  </w:endnote>
  <w:endnote w:type="continuationSeparator" w:id="0">
    <w:p w:rsidR="00A67D1C" w:rsidRDefault="00A67D1C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1C" w:rsidRDefault="00A67D1C" w:rsidP="00D9381D">
      <w:pPr>
        <w:spacing w:after="0" w:line="240" w:lineRule="auto"/>
      </w:pPr>
      <w:r>
        <w:separator/>
      </w:r>
    </w:p>
  </w:footnote>
  <w:footnote w:type="continuationSeparator" w:id="0">
    <w:p w:rsidR="00A67D1C" w:rsidRDefault="00A67D1C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3859BC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D9381D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12CCD"/>
    <w:rsid w:val="00013DD8"/>
    <w:rsid w:val="00014110"/>
    <w:rsid w:val="000152D0"/>
    <w:rsid w:val="00016148"/>
    <w:rsid w:val="00021571"/>
    <w:rsid w:val="00022DDB"/>
    <w:rsid w:val="00024B34"/>
    <w:rsid w:val="00027BEB"/>
    <w:rsid w:val="000326BF"/>
    <w:rsid w:val="000407CA"/>
    <w:rsid w:val="0004109B"/>
    <w:rsid w:val="00045483"/>
    <w:rsid w:val="000472C8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6F2C"/>
    <w:rsid w:val="00111072"/>
    <w:rsid w:val="00121071"/>
    <w:rsid w:val="00122FFC"/>
    <w:rsid w:val="00124E27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13F7"/>
    <w:rsid w:val="00185F00"/>
    <w:rsid w:val="0019168B"/>
    <w:rsid w:val="00192530"/>
    <w:rsid w:val="0019349B"/>
    <w:rsid w:val="001A0DA7"/>
    <w:rsid w:val="001A769F"/>
    <w:rsid w:val="001B0FD7"/>
    <w:rsid w:val="001B1B9C"/>
    <w:rsid w:val="001B56DB"/>
    <w:rsid w:val="001C13BE"/>
    <w:rsid w:val="001C57B5"/>
    <w:rsid w:val="001C78E3"/>
    <w:rsid w:val="001D131C"/>
    <w:rsid w:val="001D5ACE"/>
    <w:rsid w:val="001E511C"/>
    <w:rsid w:val="001E5E22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822B5"/>
    <w:rsid w:val="00283DC8"/>
    <w:rsid w:val="0029310B"/>
    <w:rsid w:val="002940B2"/>
    <w:rsid w:val="002A0F81"/>
    <w:rsid w:val="002A19BE"/>
    <w:rsid w:val="002B0077"/>
    <w:rsid w:val="002B5AA5"/>
    <w:rsid w:val="002C0C4F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71D5F"/>
    <w:rsid w:val="003859BC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B32"/>
    <w:rsid w:val="00412E4B"/>
    <w:rsid w:val="00417465"/>
    <w:rsid w:val="0042114E"/>
    <w:rsid w:val="00421910"/>
    <w:rsid w:val="00421A35"/>
    <w:rsid w:val="00424AF9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80F5E"/>
    <w:rsid w:val="00482A0E"/>
    <w:rsid w:val="00483B58"/>
    <w:rsid w:val="00496543"/>
    <w:rsid w:val="004A1BC4"/>
    <w:rsid w:val="004B1722"/>
    <w:rsid w:val="004B4BFD"/>
    <w:rsid w:val="004D0C9D"/>
    <w:rsid w:val="004D7CC9"/>
    <w:rsid w:val="004E4D19"/>
    <w:rsid w:val="004E51AA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7001"/>
    <w:rsid w:val="00520D93"/>
    <w:rsid w:val="00521393"/>
    <w:rsid w:val="0052177C"/>
    <w:rsid w:val="00532361"/>
    <w:rsid w:val="00532D0E"/>
    <w:rsid w:val="00540127"/>
    <w:rsid w:val="00540D54"/>
    <w:rsid w:val="00542545"/>
    <w:rsid w:val="00546DFE"/>
    <w:rsid w:val="0055030A"/>
    <w:rsid w:val="00554DD2"/>
    <w:rsid w:val="005559C4"/>
    <w:rsid w:val="00556994"/>
    <w:rsid w:val="00565AC6"/>
    <w:rsid w:val="00566276"/>
    <w:rsid w:val="0057119A"/>
    <w:rsid w:val="005725BC"/>
    <w:rsid w:val="0057380E"/>
    <w:rsid w:val="00581A31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42D7"/>
    <w:rsid w:val="006226C6"/>
    <w:rsid w:val="00627FC1"/>
    <w:rsid w:val="00650006"/>
    <w:rsid w:val="00650BC6"/>
    <w:rsid w:val="00653E77"/>
    <w:rsid w:val="00654156"/>
    <w:rsid w:val="00654448"/>
    <w:rsid w:val="00662015"/>
    <w:rsid w:val="00662B2C"/>
    <w:rsid w:val="00662D02"/>
    <w:rsid w:val="00671368"/>
    <w:rsid w:val="00671F48"/>
    <w:rsid w:val="00673A62"/>
    <w:rsid w:val="00675786"/>
    <w:rsid w:val="006757EC"/>
    <w:rsid w:val="006873FA"/>
    <w:rsid w:val="006958ED"/>
    <w:rsid w:val="00696ABA"/>
    <w:rsid w:val="00697D19"/>
    <w:rsid w:val="006A0BD8"/>
    <w:rsid w:val="006A4F5B"/>
    <w:rsid w:val="006A7BBC"/>
    <w:rsid w:val="006B1AFE"/>
    <w:rsid w:val="006C0AF4"/>
    <w:rsid w:val="006C6CAF"/>
    <w:rsid w:val="006D39A4"/>
    <w:rsid w:val="006D5EA5"/>
    <w:rsid w:val="006E141C"/>
    <w:rsid w:val="006F6C21"/>
    <w:rsid w:val="00700CD2"/>
    <w:rsid w:val="0070282C"/>
    <w:rsid w:val="00702C86"/>
    <w:rsid w:val="007073B1"/>
    <w:rsid w:val="00707A39"/>
    <w:rsid w:val="00707BCC"/>
    <w:rsid w:val="00716235"/>
    <w:rsid w:val="00724DC4"/>
    <w:rsid w:val="007258A1"/>
    <w:rsid w:val="00730072"/>
    <w:rsid w:val="0073038B"/>
    <w:rsid w:val="00731EC6"/>
    <w:rsid w:val="00735067"/>
    <w:rsid w:val="0075140B"/>
    <w:rsid w:val="00753431"/>
    <w:rsid w:val="007552EF"/>
    <w:rsid w:val="007623CA"/>
    <w:rsid w:val="007646E5"/>
    <w:rsid w:val="00765F29"/>
    <w:rsid w:val="00771597"/>
    <w:rsid w:val="00781E1E"/>
    <w:rsid w:val="0078224D"/>
    <w:rsid w:val="0078301E"/>
    <w:rsid w:val="007835C2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1F26"/>
    <w:rsid w:val="007A3FDD"/>
    <w:rsid w:val="007A5BA6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05F0"/>
    <w:rsid w:val="00802ECA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33FD"/>
    <w:rsid w:val="00834244"/>
    <w:rsid w:val="00834C92"/>
    <w:rsid w:val="00836691"/>
    <w:rsid w:val="008373AF"/>
    <w:rsid w:val="00837FE0"/>
    <w:rsid w:val="00842640"/>
    <w:rsid w:val="00844505"/>
    <w:rsid w:val="008468A1"/>
    <w:rsid w:val="008470BE"/>
    <w:rsid w:val="00861971"/>
    <w:rsid w:val="00867795"/>
    <w:rsid w:val="00874D2E"/>
    <w:rsid w:val="008750F4"/>
    <w:rsid w:val="008759F2"/>
    <w:rsid w:val="008841F2"/>
    <w:rsid w:val="00885A32"/>
    <w:rsid w:val="00886514"/>
    <w:rsid w:val="008866C9"/>
    <w:rsid w:val="00890A85"/>
    <w:rsid w:val="00892D0D"/>
    <w:rsid w:val="008A56EE"/>
    <w:rsid w:val="008A5CBC"/>
    <w:rsid w:val="008B3CBA"/>
    <w:rsid w:val="008B4627"/>
    <w:rsid w:val="008C5B88"/>
    <w:rsid w:val="008D1AA4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24D95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14C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4912"/>
    <w:rsid w:val="009E6CD2"/>
    <w:rsid w:val="009F0404"/>
    <w:rsid w:val="009F4023"/>
    <w:rsid w:val="009F49A3"/>
    <w:rsid w:val="00A02459"/>
    <w:rsid w:val="00A03AFE"/>
    <w:rsid w:val="00A057E5"/>
    <w:rsid w:val="00A05CF9"/>
    <w:rsid w:val="00A05E9B"/>
    <w:rsid w:val="00A10070"/>
    <w:rsid w:val="00A10980"/>
    <w:rsid w:val="00A10CDB"/>
    <w:rsid w:val="00A1235C"/>
    <w:rsid w:val="00A133BE"/>
    <w:rsid w:val="00A14BB8"/>
    <w:rsid w:val="00A15CED"/>
    <w:rsid w:val="00A178AE"/>
    <w:rsid w:val="00A22D2A"/>
    <w:rsid w:val="00A25A7E"/>
    <w:rsid w:val="00A27E16"/>
    <w:rsid w:val="00A41D59"/>
    <w:rsid w:val="00A50E9F"/>
    <w:rsid w:val="00A612E0"/>
    <w:rsid w:val="00A67D1C"/>
    <w:rsid w:val="00A67FC5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778A"/>
    <w:rsid w:val="00AC4230"/>
    <w:rsid w:val="00AD2634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75FE"/>
    <w:rsid w:val="00B10703"/>
    <w:rsid w:val="00B1328E"/>
    <w:rsid w:val="00B13989"/>
    <w:rsid w:val="00B14EFC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52C17"/>
    <w:rsid w:val="00C52C81"/>
    <w:rsid w:val="00C60496"/>
    <w:rsid w:val="00C61760"/>
    <w:rsid w:val="00C61FEF"/>
    <w:rsid w:val="00C773BF"/>
    <w:rsid w:val="00C81D77"/>
    <w:rsid w:val="00C83639"/>
    <w:rsid w:val="00C839FE"/>
    <w:rsid w:val="00C848DA"/>
    <w:rsid w:val="00C86327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E6890"/>
    <w:rsid w:val="00CE68EE"/>
    <w:rsid w:val="00CF35BF"/>
    <w:rsid w:val="00CF77C3"/>
    <w:rsid w:val="00D07D99"/>
    <w:rsid w:val="00D16997"/>
    <w:rsid w:val="00D16D4D"/>
    <w:rsid w:val="00D215B5"/>
    <w:rsid w:val="00D223C5"/>
    <w:rsid w:val="00D23791"/>
    <w:rsid w:val="00D24871"/>
    <w:rsid w:val="00D26869"/>
    <w:rsid w:val="00D27D52"/>
    <w:rsid w:val="00D324AB"/>
    <w:rsid w:val="00D452D3"/>
    <w:rsid w:val="00D50B7A"/>
    <w:rsid w:val="00D55C7B"/>
    <w:rsid w:val="00D60632"/>
    <w:rsid w:val="00D645C4"/>
    <w:rsid w:val="00D71D5E"/>
    <w:rsid w:val="00D736CE"/>
    <w:rsid w:val="00D73EAD"/>
    <w:rsid w:val="00D754BD"/>
    <w:rsid w:val="00D76A4E"/>
    <w:rsid w:val="00D82699"/>
    <w:rsid w:val="00D9067F"/>
    <w:rsid w:val="00D92101"/>
    <w:rsid w:val="00D922C0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E01D70"/>
    <w:rsid w:val="00E02891"/>
    <w:rsid w:val="00E04F8D"/>
    <w:rsid w:val="00E058A5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21F"/>
    <w:rsid w:val="00E60940"/>
    <w:rsid w:val="00E6636F"/>
    <w:rsid w:val="00E6790B"/>
    <w:rsid w:val="00E71D0F"/>
    <w:rsid w:val="00E71E50"/>
    <w:rsid w:val="00E739F0"/>
    <w:rsid w:val="00E754C6"/>
    <w:rsid w:val="00E91D46"/>
    <w:rsid w:val="00E9233C"/>
    <w:rsid w:val="00E93C50"/>
    <w:rsid w:val="00EA0FF5"/>
    <w:rsid w:val="00EB456B"/>
    <w:rsid w:val="00EC2857"/>
    <w:rsid w:val="00ED32B4"/>
    <w:rsid w:val="00ED4D98"/>
    <w:rsid w:val="00ED611D"/>
    <w:rsid w:val="00EE0E06"/>
    <w:rsid w:val="00EF5CE4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10C9"/>
    <w:rsid w:val="00FB1717"/>
    <w:rsid w:val="00FB695A"/>
    <w:rsid w:val="00FC14D8"/>
    <w:rsid w:val="00FC5351"/>
    <w:rsid w:val="00FC6D4A"/>
    <w:rsid w:val="00FD0604"/>
    <w:rsid w:val="00FD0F05"/>
    <w:rsid w:val="00FD112A"/>
    <w:rsid w:val="00FD30E8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72"/>
  </w:style>
  <w:style w:type="paragraph" w:styleId="Balk1">
    <w:name w:val="heading 1"/>
    <w:basedOn w:val="Normal"/>
    <w:next w:val="Normal"/>
    <w:link w:val="Balk1Char"/>
    <w:uiPriority w:val="9"/>
    <w:qFormat/>
    <w:rsid w:val="00E058A5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8468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eParagraf">
    <w:name w:val="List Paragraph"/>
    <w:basedOn w:val="Normal"/>
    <w:qFormat/>
    <w:rsid w:val="00E058A5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character" w:styleId="Kpr">
    <w:name w:val="Hyperlink"/>
    <w:basedOn w:val="VarsaylanParagrafYazTipi"/>
    <w:unhideWhenUsed/>
    <w:rsid w:val="00E058A5"/>
    <w:rPr>
      <w:color w:val="0000FF"/>
      <w:u w:val="single"/>
    </w:rPr>
  </w:style>
  <w:style w:type="table" w:customStyle="1" w:styleId="AkKlavuz1">
    <w:name w:val="Açık Kılavuz1"/>
    <w:basedOn w:val="NormalTablo"/>
    <w:uiPriority w:val="62"/>
    <w:rsid w:val="000152D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politikaforumu.com/the-kurdish-diaspora-in-europe-identity-formation-and-political-activis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nstitut-bosphore.org/upload/publication/898561366361917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Avrupa Çalışmaları Uygulama ve Araştırma Merkezi</vt:lpstr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2013</dc:subject>
  <dc:creator>Gülşen Mutlu</dc:creator>
  <cp:lastModifiedBy>Gülşen Mutlu</cp:lastModifiedBy>
  <cp:revision>27</cp:revision>
  <dcterms:created xsi:type="dcterms:W3CDTF">2014-03-04T14:35:00Z</dcterms:created>
  <dcterms:modified xsi:type="dcterms:W3CDTF">2014-04-15T10:08:00Z</dcterms:modified>
</cp:coreProperties>
</file>