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7926CD" w:rsidP="00F0171E">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0171E">
                      <w:rPr>
                        <w:color w:val="548DD4" w:themeColor="text2" w:themeTint="99"/>
                        <w:sz w:val="96"/>
                        <w:szCs w:val="96"/>
                      </w:rPr>
                      <w:t>Enerji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7926CD" w:rsidP="0079052F">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E7C85">
                      <w:rPr>
                        <w:b/>
                        <w:sz w:val="96"/>
                        <w:szCs w:val="96"/>
                      </w:rPr>
                      <w:t>2</w:t>
                    </w:r>
                    <w:r w:rsidR="00611848">
                      <w:rPr>
                        <w:b/>
                        <w:sz w:val="96"/>
                        <w:szCs w:val="96"/>
                      </w:rPr>
                      <w:t>4</w:t>
                    </w:r>
                  </w:sdtContent>
                </w:sdt>
              </w:p>
            </w:tc>
          </w:tr>
          <w:tr w:rsidR="00D9381D" w:rsidRPr="00D6527A">
            <w:trPr>
              <w:trHeight w:val="1152"/>
            </w:trPr>
            <w:tc>
              <w:tcPr>
                <w:tcW w:w="0" w:type="auto"/>
                <w:vAlign w:val="bottom"/>
              </w:tcPr>
              <w:p w:rsidR="00D9381D" w:rsidRPr="00D6527A" w:rsidRDefault="007926CD"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6B6F07E" wp14:editId="4334E80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14D37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FB5BDEA" wp14:editId="5A43996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CE4FF2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E6073EE" wp14:editId="054C732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E6073E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EAD5EB" wp14:editId="2C1D730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59162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D2F1DF" wp14:editId="3795A41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lastRenderedPageBreak/>
        <w:t>I-MERKEZİN MİSYON VE VİZYONU</w:t>
      </w:r>
    </w:p>
    <w:p w:rsidR="00787477" w:rsidRPr="000B005A" w:rsidRDefault="00787477" w:rsidP="00EA3BE2">
      <w:pPr>
        <w:spacing w:after="0" w:line="300" w:lineRule="exact"/>
        <w:rPr>
          <w:rFonts w:ascii="Cambria" w:eastAsia="Calibri" w:hAnsi="Cambria" w:cs="InterstateLight"/>
          <w:lang w:val="de-DE"/>
        </w:rPr>
      </w:pPr>
    </w:p>
    <w:p w:rsidR="00E17ECD" w:rsidRPr="000B005A" w:rsidRDefault="00E052B1" w:rsidP="00EA3BE2">
      <w:pPr>
        <w:autoSpaceDE w:val="0"/>
        <w:autoSpaceDN w:val="0"/>
        <w:adjustRightInd w:val="0"/>
        <w:spacing w:after="0" w:line="300" w:lineRule="exact"/>
        <w:jc w:val="both"/>
        <w:rPr>
          <w:rFonts w:ascii="Cambria" w:eastAsia="Calibri" w:hAnsi="Cambria" w:cs="InterstateLight"/>
          <w:lang w:val="de-DE"/>
        </w:rPr>
      </w:pPr>
      <w:r>
        <w:rPr>
          <w:rFonts w:ascii="Cambria" w:eastAsia="Calibri" w:hAnsi="Cambria" w:cs="InterstateLight"/>
          <w:b/>
          <w:lang w:val="de-DE"/>
        </w:rPr>
        <w:t>Misyon</w:t>
      </w:r>
      <w:r w:rsidR="00F0171E" w:rsidRPr="000B005A">
        <w:rPr>
          <w:rFonts w:ascii="Cambria" w:eastAsia="Calibri" w:hAnsi="Cambria" w:cs="InterstateLight"/>
          <w:b/>
          <w:lang w:val="de-DE"/>
        </w:rPr>
        <w:t>:</w:t>
      </w:r>
      <w:r>
        <w:rPr>
          <w:rFonts w:ascii="Cambria" w:eastAsia="Calibri" w:hAnsi="Cambria" w:cs="InterstateLight"/>
          <w:lang w:val="de-DE"/>
        </w:rPr>
        <w:t xml:space="preserve"> </w:t>
      </w:r>
      <w:r w:rsidR="00F0171E" w:rsidRPr="000B005A">
        <w:rPr>
          <w:rFonts w:ascii="Cambria" w:eastAsia="Calibri" w:hAnsi="Cambria" w:cs="InterstateLight"/>
          <w:lang w:val="de-DE"/>
        </w:rPr>
        <w:t>Enerji politikaları üzerine çok-disiplinli bir perspektiften bilimsel araştırmalar yaparak, eğitimler düzenleyerek, ulusal ve uluslararası işbirlikleri tesis ederek ve yaygın katılımlı tartışma platformları oluşturarak rasyonel karar vermeye akademik katkı sağlamak, kamu yönetimine, politika oluşturuculara, piyasa oyuncularına, enerji politikaları üzerine karar vericilere, ve uzmanlara bilimsel, şeffaf, güvenilir ve kolay erişilebilir bir danışma ve karar destek ortamı sunmak.</w:t>
      </w:r>
    </w:p>
    <w:p w:rsidR="00F0171E" w:rsidRPr="000B005A" w:rsidRDefault="00F0171E" w:rsidP="00EA3BE2">
      <w:pPr>
        <w:shd w:val="clear" w:color="auto" w:fill="FFFFFF"/>
        <w:spacing w:after="0" w:line="300" w:lineRule="exact"/>
        <w:jc w:val="both"/>
        <w:textAlignment w:val="baseline"/>
        <w:rPr>
          <w:rFonts w:ascii="Cambria" w:eastAsia="Calibri" w:hAnsi="Cambria" w:cs="InterstateLight"/>
          <w:lang w:val="de-DE"/>
        </w:rPr>
      </w:pPr>
    </w:p>
    <w:p w:rsidR="00F0171E" w:rsidRPr="000B005A" w:rsidRDefault="00F0171E"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b/>
          <w:lang w:val="de-DE"/>
        </w:rPr>
        <w:t>Vizyon:</w:t>
      </w:r>
      <w:r w:rsidRPr="000B005A">
        <w:rPr>
          <w:rFonts w:ascii="Cambria" w:eastAsia="Calibri" w:hAnsi="Cambria" w:cs="InterstateLight"/>
          <w:lang w:val="de-DE"/>
        </w:rPr>
        <w:t xml:space="preserve"> Bilgiyi doğru, tarafsız, çok disiplinli ve bilimsel temellere dayalı olarak bütünsel bir değerlendirme ile şeffaf bir ortamda oluşturup yayan araştırma ve uygulama merkezi olarak ulusal, bölgesel ve uluslararası düzeyde enerji politikalarının geliştirilmesinde ve uygulamasında söz sahibi olmak.</w:t>
      </w:r>
    </w:p>
    <w:p w:rsidR="00F0171E" w:rsidRPr="000B005A" w:rsidRDefault="00F0171E" w:rsidP="00EA3BE2">
      <w:pPr>
        <w:spacing w:after="0" w:line="300" w:lineRule="exact"/>
        <w:rPr>
          <w:rFonts w:ascii="Cambria" w:eastAsia="Calibri" w:hAnsi="Cambria" w:cs="Times New Roman"/>
          <w:b/>
          <w:color w:val="365F91" w:themeColor="accent1" w:themeShade="BF"/>
          <w:lang w:eastAsia="tr-TR"/>
        </w:rPr>
      </w:pPr>
    </w:p>
    <w:p w:rsidR="007F0207" w:rsidRPr="000B005A" w:rsidRDefault="00522364"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w:t>
      </w:r>
      <w:r w:rsidR="002471B2" w:rsidRPr="000B005A">
        <w:rPr>
          <w:rFonts w:ascii="Cambria" w:eastAsia="Calibri" w:hAnsi="Cambria" w:cs="Times New Roman"/>
          <w:b/>
          <w:color w:val="365F91" w:themeColor="accent1" w:themeShade="BF"/>
          <w:sz w:val="28"/>
          <w:szCs w:val="28"/>
          <w:lang w:eastAsia="tr-TR"/>
        </w:rPr>
        <w:t>I</w:t>
      </w:r>
      <w:r w:rsidRPr="000B005A">
        <w:rPr>
          <w:rFonts w:ascii="Cambria" w:eastAsia="Calibri" w:hAnsi="Cambria" w:cs="Times New Roman"/>
          <w:b/>
          <w:color w:val="365F91" w:themeColor="accent1" w:themeShade="BF"/>
          <w:sz w:val="28"/>
          <w:szCs w:val="28"/>
          <w:lang w:eastAsia="tr-TR"/>
        </w:rPr>
        <w:t>-MERKEZİN TARİHÇESİ, AMACI VE HEDEFLERİ</w:t>
      </w:r>
    </w:p>
    <w:p w:rsidR="00220BAD" w:rsidRPr="000B005A" w:rsidRDefault="00220BAD" w:rsidP="00EA3BE2">
      <w:pPr>
        <w:spacing w:after="0" w:line="300" w:lineRule="exact"/>
        <w:rPr>
          <w:rFonts w:ascii="Cambria" w:eastAsia="Calibri" w:hAnsi="Cambria" w:cs="InterstateLight"/>
          <w:lang w:val="de-DE"/>
        </w:rPr>
      </w:pPr>
    </w:p>
    <w:p w:rsidR="005A1A29" w:rsidRPr="000B005A" w:rsidRDefault="005A1A29"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5A1A29" w:rsidRPr="000B005A" w:rsidRDefault="005A1A29" w:rsidP="00EA3BE2">
      <w:pPr>
        <w:spacing w:after="0" w:line="300" w:lineRule="exact"/>
        <w:rPr>
          <w:rFonts w:ascii="Cambria" w:hAnsi="Cambria" w:cs="Calibri"/>
        </w:rPr>
      </w:pPr>
    </w:p>
    <w:p w:rsidR="002471B2" w:rsidRPr="000B005A"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III-MERKEZİN TEMEL POLİTİKA VE ÖNCELİKLERİ</w:t>
      </w:r>
    </w:p>
    <w:p w:rsidR="002471B2" w:rsidRPr="000B005A" w:rsidRDefault="002471B2" w:rsidP="00EA3BE2">
      <w:pPr>
        <w:pStyle w:val="ListeParagraf"/>
        <w:spacing w:after="0" w:line="300" w:lineRule="exact"/>
        <w:ind w:left="0"/>
        <w:rPr>
          <w:rFonts w:ascii="Cambria" w:eastAsia="Calibri" w:hAnsi="Cambria" w:cs="InterstateLight"/>
          <w:lang w:val="de-DE"/>
        </w:rPr>
      </w:pPr>
    </w:p>
    <w:p w:rsidR="009972CD" w:rsidRPr="000B005A" w:rsidRDefault="007627B1" w:rsidP="00EA3BE2">
      <w:pPr>
        <w:autoSpaceDE w:val="0"/>
        <w:autoSpaceDN w:val="0"/>
        <w:adjustRightInd w:val="0"/>
        <w:spacing w:after="0" w:line="300" w:lineRule="exact"/>
        <w:jc w:val="both"/>
        <w:rPr>
          <w:rFonts w:ascii="Cambria" w:eastAsia="Calibri" w:hAnsi="Cambria" w:cs="InterstateLight"/>
          <w:lang w:val="de-DE"/>
        </w:rPr>
      </w:pPr>
      <w:r w:rsidRPr="000B005A">
        <w:rPr>
          <w:rFonts w:ascii="Cambria" w:eastAsia="Calibri" w:hAnsi="Cambria" w:cs="InterstateLight"/>
          <w:lang w:val="de-DE"/>
        </w:rPr>
        <w:t xml:space="preserve">          Merkezin temel politikası öncelikli olarak kurumsallaşmak, ilgili Kurumlar ile güçlü bir network kurmak ve kamu oyunda tanınır hale gelmek sureti ile bu alanda ihtiyaç duyulan bağımsız ve güçlü referans kurum olma özelliğini sağlayacak ilk çatıyı kurmakla başlamaktadır. Bu amaçla öncelikli olarak merkezin kurumsal alt yapısını güçlendirmek, yapılacak akademik ve bilimsel çalışmalara finansal kaynak oluşturmak ve bunu takiben referans kurum olabilmek için güvenilir nitelikli çalışmalar yapmak ve merkezin kadrosunu güçlendirmektir. Bu amaçla öncelikli olarak Enerji ve Tabii Kaynaklar Bakanlığı ve Enerji Piyasası Düzenleme Kurumu ile yakın bir çalışma ortamı oluşturmak üzere önceliklerini şekillendirmiştir.</w:t>
      </w:r>
    </w:p>
    <w:p w:rsidR="00964C34" w:rsidRPr="000B005A" w:rsidRDefault="00964C34" w:rsidP="00EA3BE2">
      <w:pPr>
        <w:autoSpaceDE w:val="0"/>
        <w:autoSpaceDN w:val="0"/>
        <w:adjustRightInd w:val="0"/>
        <w:spacing w:after="0" w:line="300" w:lineRule="exact"/>
        <w:jc w:val="both"/>
        <w:rPr>
          <w:rFonts w:ascii="Cambria" w:eastAsia="Calibri" w:hAnsi="Cambria" w:cs="InterstateLight"/>
          <w:lang w:val="de-DE"/>
        </w:rPr>
      </w:pPr>
    </w:p>
    <w:p w:rsidR="00964C34" w:rsidRPr="000B005A" w:rsidRDefault="00964C34" w:rsidP="00964C34">
      <w:pPr>
        <w:spacing w:before="60" w:after="0" w:line="360" w:lineRule="auto"/>
        <w:rPr>
          <w:rFonts w:ascii="Cambria" w:eastAsia="Calibri" w:hAnsi="Cambria" w:cs="Times New Roman"/>
          <w:b/>
          <w:color w:val="365F91" w:themeColor="accent1" w:themeShade="BF"/>
          <w:sz w:val="28"/>
          <w:szCs w:val="28"/>
          <w:lang w:eastAsia="tr-TR"/>
        </w:rPr>
      </w:pPr>
      <w:r w:rsidRPr="000B005A">
        <w:rPr>
          <w:rFonts w:ascii="Cambria" w:eastAsia="Calibri" w:hAnsi="Cambria" w:cs="Times New Roman"/>
          <w:b/>
          <w:color w:val="365F91" w:themeColor="accent1" w:themeShade="BF"/>
          <w:sz w:val="28"/>
          <w:szCs w:val="28"/>
          <w:lang w:eastAsia="tr-TR"/>
        </w:rPr>
        <w:t>IV-MERKEZDE YETKİ, GÖREV VE SORUMLULUKLAR</w:t>
      </w:r>
    </w:p>
    <w:p w:rsidR="00964C34" w:rsidRPr="00611848" w:rsidRDefault="00964C34" w:rsidP="00611848">
      <w:pPr>
        <w:pStyle w:val="ListeParagraf"/>
        <w:numPr>
          <w:ilvl w:val="0"/>
          <w:numId w:val="27"/>
        </w:numPr>
        <w:spacing w:after="0" w:line="300" w:lineRule="exact"/>
        <w:rPr>
          <w:rFonts w:ascii="Cambria" w:eastAsia="Calibri" w:hAnsi="Cambria" w:cs="InterstateLight"/>
          <w:b/>
          <w:lang w:val="de-DE"/>
        </w:rPr>
      </w:pPr>
      <w:r w:rsidRPr="00611848">
        <w:rPr>
          <w:rFonts w:ascii="Cambria" w:eastAsia="Calibri" w:hAnsi="Cambria" w:cs="InterstateLight"/>
          <w:b/>
          <w:lang w:val="de-DE"/>
        </w:rPr>
        <w:t>Örgüt Yapısı</w:t>
      </w:r>
    </w:p>
    <w:p w:rsidR="00964C34" w:rsidRPr="000B005A" w:rsidRDefault="00964C34" w:rsidP="00964C34">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Müdürü</w:t>
      </w:r>
      <w:r w:rsidRPr="000B005A">
        <w:rPr>
          <w:rFonts w:ascii="Cambria" w:eastAsia="Calibri" w:hAnsi="Cambria" w:cs="InterstateLight"/>
          <w:lang w:val="de-DE"/>
        </w:rPr>
        <w:t xml:space="preserve">: Prof. Dr. Cem Avcı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Merkez Müdür Yardımcıları</w:t>
      </w:r>
      <w:r w:rsidRPr="000B005A">
        <w:rPr>
          <w:rFonts w:ascii="Cambria" w:eastAsia="Calibri" w:hAnsi="Cambria" w:cs="InterstateLight"/>
          <w:lang w:val="de-DE"/>
        </w:rPr>
        <w:t xml:space="preserve">: Bulunmamaktadır. </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Yönetim Kurulu Üyeleri</w:t>
      </w:r>
      <w:r w:rsidRPr="000B005A">
        <w:rPr>
          <w:rFonts w:ascii="Cambria" w:eastAsia="Calibri" w:hAnsi="Cambria" w:cs="InterstateLight"/>
          <w:lang w:val="de-DE"/>
        </w:rPr>
        <w:t>: Prof. Dr. Cem Avcı (Başkan), Prof. Dr. Gürkan Kumbaroğlu, Prof. Dr. Ramazan Yıldırım, Prof. Dr. Turgut Tüzün Onay</w:t>
      </w: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b/>
          <w:lang w:val="de-DE"/>
        </w:rPr>
        <w:t>Danışma Kurulu Üyeleri</w:t>
      </w:r>
      <w:r w:rsidRPr="000B005A">
        <w:rPr>
          <w:rFonts w:ascii="Cambria" w:eastAsia="Calibri" w:hAnsi="Cambria" w:cs="InterstateLight"/>
          <w:lang w:val="de-DE"/>
        </w:rPr>
        <w:t xml:space="preserve">: Danışma Kurulu bulunmamaktadır. </w:t>
      </w:r>
    </w:p>
    <w:p w:rsidR="0079052F" w:rsidRPr="000B005A" w:rsidRDefault="0079052F" w:rsidP="0079052F">
      <w:pPr>
        <w:spacing w:after="0" w:line="300" w:lineRule="exact"/>
        <w:rPr>
          <w:rFonts w:ascii="Cambria" w:eastAsia="Calibri" w:hAnsi="Cambria" w:cs="InterstateLight"/>
          <w:lang w:val="de-DE"/>
        </w:rPr>
      </w:pPr>
    </w:p>
    <w:p w:rsidR="00EB5710" w:rsidRPr="000B005A" w:rsidRDefault="00EB5710"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b/>
          <w:lang w:val="de-DE"/>
        </w:rPr>
      </w:pPr>
      <w:r w:rsidRPr="000B005A">
        <w:rPr>
          <w:rFonts w:ascii="Cambria" w:eastAsia="Calibri" w:hAnsi="Cambria" w:cs="InterstateLight"/>
          <w:b/>
          <w:lang w:val="de-DE"/>
        </w:rPr>
        <w:lastRenderedPageBreak/>
        <w:t xml:space="preserve">Genel Kurul </w:t>
      </w:r>
      <w:proofErr w:type="gramStart"/>
      <w:r w:rsidRPr="000B005A">
        <w:rPr>
          <w:rFonts w:ascii="Cambria" w:eastAsia="Calibri" w:hAnsi="Cambria" w:cs="InterstateLight"/>
          <w:b/>
          <w:lang w:val="de-DE"/>
        </w:rPr>
        <w:t>Üyeleri :</w:t>
      </w:r>
      <w:proofErr w:type="gramEnd"/>
      <w:r w:rsidRPr="000B005A">
        <w:rPr>
          <w:rFonts w:ascii="Cambria" w:eastAsia="Calibri" w:hAnsi="Cambria" w:cs="InterstateLight"/>
          <w:b/>
          <w:lang w:val="de-DE"/>
        </w:rPr>
        <w:t xml:space="preserve"> </w:t>
      </w:r>
    </w:p>
    <w:p w:rsidR="0079052F" w:rsidRPr="000B005A" w:rsidRDefault="0079052F" w:rsidP="0079052F">
      <w:pPr>
        <w:spacing w:after="0" w:line="300" w:lineRule="exact"/>
        <w:rPr>
          <w:rFonts w:ascii="Cambria" w:eastAsia="Calibri" w:hAnsi="Cambria" w:cs="InterstateLight"/>
          <w:lang w:val="de-DE"/>
        </w:rPr>
      </w:pPr>
    </w:p>
    <w:p w:rsidR="0079052F" w:rsidRPr="000B005A" w:rsidRDefault="0079052F" w:rsidP="0079052F">
      <w:pPr>
        <w:spacing w:after="0" w:line="300" w:lineRule="exact"/>
        <w:rPr>
          <w:rFonts w:ascii="Cambria" w:eastAsia="Calibri" w:hAnsi="Cambria" w:cs="InterstateLight"/>
          <w:lang w:val="de-DE"/>
        </w:rPr>
      </w:pPr>
      <w:r w:rsidRPr="000B005A">
        <w:rPr>
          <w:rFonts w:ascii="Cambria" w:eastAsia="Calibri" w:hAnsi="Cambria" w:cs="InterstateLight"/>
          <w:lang w:val="de-DE"/>
        </w:rPr>
        <w:t>1. Prof.Dr. Fikret Adaman (Boğaziçi Üniversitesi Ekonomi Bölümü)</w:t>
      </w:r>
      <w:r w:rsidRPr="000B005A">
        <w:rPr>
          <w:rFonts w:ascii="Cambria" w:eastAsia="Calibri" w:hAnsi="Cambria" w:cs="InterstateLight"/>
          <w:lang w:val="de-DE"/>
        </w:rPr>
        <w:br/>
        <w:t>2. Prof.Dr. Taylan Akdoğan (Boğaziçi Üniversitesi Fizik Bölümü)</w:t>
      </w:r>
      <w:r w:rsidRPr="000B005A">
        <w:rPr>
          <w:rFonts w:ascii="Cambria" w:eastAsia="Calibri" w:hAnsi="Cambria" w:cs="InterstateLight"/>
          <w:lang w:val="de-DE"/>
        </w:rPr>
        <w:br/>
        <w:t>3. Prof.Dr. Erhan Aksoylu (Boğaziçi Üniversitesi Kimya Mühendisliği Bölümü)</w:t>
      </w:r>
      <w:r w:rsidRPr="000B005A">
        <w:rPr>
          <w:rFonts w:ascii="Cambria" w:eastAsia="Calibri" w:hAnsi="Cambria" w:cs="InterstateLight"/>
          <w:lang w:val="de-DE"/>
        </w:rPr>
        <w:br/>
        <w:t>4. Doç.Dr. Yıldız Arıkan (Bahçeşehir Üniversitesi Enerji Sistemleri Mühendisliği Bölümü)</w:t>
      </w:r>
      <w:r w:rsidRPr="000B005A">
        <w:rPr>
          <w:rFonts w:ascii="Cambria" w:eastAsia="Calibri" w:hAnsi="Cambria" w:cs="InterstateLight"/>
          <w:lang w:val="de-DE"/>
        </w:rPr>
        <w:br/>
        <w:t>5. Prof.Dr. Cem Avcı (Boğaziçi Üniversitesi İnşaat Mühendisliği Bölümü)</w:t>
      </w:r>
      <w:r w:rsidRPr="000B005A">
        <w:rPr>
          <w:rFonts w:ascii="Cambria" w:eastAsia="Calibri" w:hAnsi="Cambria" w:cs="InterstateLight"/>
          <w:lang w:val="de-DE"/>
        </w:rPr>
        <w:br/>
        <w:t>6. Prof.Dr. Gökhan Baykal (Boğaziçi Üniversitesi İnşaat Mühendisliği Bölümü)</w:t>
      </w:r>
      <w:r w:rsidRPr="000B005A">
        <w:rPr>
          <w:rFonts w:ascii="Cambria" w:eastAsia="Calibri" w:hAnsi="Cambria" w:cs="InterstateLight"/>
          <w:lang w:val="de-DE"/>
        </w:rPr>
        <w:br/>
        <w:t>7. Doç.Dr. Hasan Bedir (Boğaziçi Üniversitesi Makina Mühendisliği Bölümü)</w:t>
      </w:r>
      <w:r w:rsidRPr="000B005A">
        <w:rPr>
          <w:rFonts w:ascii="Cambria" w:eastAsia="Calibri" w:hAnsi="Cambria" w:cs="InterstateLight"/>
          <w:lang w:val="de-DE"/>
        </w:rPr>
        <w:br/>
        <w:t>8. Prof.Dr. Işıl Bozma (Boğaziçi Üniversitesi Elektrik-Elektronik Mühendisliği Bölümü)</w:t>
      </w:r>
      <w:r w:rsidRPr="000B005A">
        <w:rPr>
          <w:rFonts w:ascii="Cambria" w:eastAsia="Calibri" w:hAnsi="Cambria" w:cs="InterstateLight"/>
          <w:lang w:val="de-DE"/>
        </w:rPr>
        <w:br/>
        <w:t xml:space="preserve">9. Dr. </w:t>
      </w:r>
      <w:r w:rsidR="00EB5710" w:rsidRPr="000B005A">
        <w:rPr>
          <w:rFonts w:ascii="Cambria" w:eastAsia="Calibri" w:hAnsi="Cambria" w:cs="InterstateLight"/>
          <w:lang w:val="de-DE"/>
        </w:rPr>
        <w:t xml:space="preserve">Öğr. Üyesi </w:t>
      </w:r>
      <w:r w:rsidRPr="000B005A">
        <w:rPr>
          <w:rFonts w:ascii="Cambria" w:eastAsia="Calibri" w:hAnsi="Cambria" w:cs="InterstateLight"/>
          <w:lang w:val="de-DE"/>
        </w:rPr>
        <w:t>Murat Çelik (Boğaziçi Üniversitesi Makina Mühendisliği Bölümü)</w:t>
      </w:r>
      <w:r w:rsidRPr="000B005A">
        <w:rPr>
          <w:rFonts w:ascii="Cambria" w:eastAsia="Calibri" w:hAnsi="Cambria" w:cs="InterstateLight"/>
          <w:lang w:val="de-DE"/>
        </w:rPr>
        <w:br/>
        <w:t xml:space="preserve">10.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Oktay Demircan (Boğaziçi Ün</w:t>
      </w:r>
      <w:r w:rsidR="001519AE" w:rsidRPr="000B005A">
        <w:rPr>
          <w:rFonts w:ascii="Cambria" w:eastAsia="Calibri" w:hAnsi="Cambria" w:cs="InterstateLight"/>
          <w:lang w:val="de-DE"/>
        </w:rPr>
        <w:t>iversitesi Kimya Bölümü)</w:t>
      </w:r>
      <w:r w:rsidR="001519AE" w:rsidRPr="000B005A">
        <w:rPr>
          <w:rFonts w:ascii="Cambria" w:eastAsia="Calibri" w:hAnsi="Cambria" w:cs="InterstateLight"/>
          <w:lang w:val="de-DE"/>
        </w:rPr>
        <w:br/>
        <w:t>11. Prof</w:t>
      </w:r>
      <w:r w:rsidRPr="000B005A">
        <w:rPr>
          <w:rFonts w:ascii="Cambria" w:eastAsia="Calibri" w:hAnsi="Cambria" w:cs="InterstateLight"/>
          <w:lang w:val="de-DE"/>
        </w:rPr>
        <w:t>.Dr. Burak Demirel (Boğaziçi Üniversitesi Çevre Bilimleri Enstitüsü)</w:t>
      </w:r>
      <w:r w:rsidRPr="000B005A">
        <w:rPr>
          <w:rFonts w:ascii="Cambria" w:eastAsia="Calibri" w:hAnsi="Cambria" w:cs="InterstateLight"/>
          <w:lang w:val="de-DE"/>
        </w:rPr>
        <w:br/>
        <w:t>12. Prof.Dr. Cem Ersoy (Boğaziçi Üniversitesi Bilgisayar Mühendislği Bölümü)</w:t>
      </w:r>
      <w:r w:rsidRPr="000B005A">
        <w:rPr>
          <w:rFonts w:ascii="Cambria" w:eastAsia="Calibri" w:hAnsi="Cambria" w:cs="InterstateLight"/>
          <w:lang w:val="de-DE"/>
        </w:rPr>
        <w:br/>
        <w:t>13. Prof.Dr. Gürkan Kumbaroğlu (Boğaziçi Üniversitesi Endüstri Mühendislği Bölümü)</w:t>
      </w:r>
      <w:r w:rsidRPr="000B005A">
        <w:rPr>
          <w:rFonts w:ascii="Cambria" w:eastAsia="Calibri" w:hAnsi="Cambria" w:cs="InterstateLight"/>
          <w:lang w:val="de-DE"/>
        </w:rPr>
        <w:br/>
        <w:t>14. Prof.Dr.Turgut T. Onay (Boğaziçi Üniversitesi Çevre Bilimleri Enstitüsü)</w:t>
      </w:r>
      <w:r w:rsidRPr="000B005A">
        <w:rPr>
          <w:rFonts w:ascii="Cambria" w:eastAsia="Calibri" w:hAnsi="Cambria" w:cs="InterstateLight"/>
          <w:lang w:val="de-DE"/>
        </w:rPr>
        <w:br/>
        <w:t>15. Prof.Dr. İlhan Or (Boğaziçi Üniversitesi Endüstri Mühendislği Bölümü)</w:t>
      </w:r>
      <w:r w:rsidRPr="000B005A">
        <w:rPr>
          <w:rFonts w:ascii="Cambria" w:eastAsia="Calibri" w:hAnsi="Cambria" w:cs="InterstateLight"/>
          <w:lang w:val="de-DE"/>
        </w:rPr>
        <w:br/>
        <w:t>16. Prof.Dr. Emre Otay (Boğaziçi Üniversitesi İnşaat Mühendisliği Bölümü)</w:t>
      </w:r>
      <w:r w:rsidRPr="000B005A">
        <w:rPr>
          <w:rFonts w:ascii="Cambria" w:eastAsia="Calibri" w:hAnsi="Cambria" w:cs="InterstateLight"/>
          <w:lang w:val="de-DE"/>
        </w:rPr>
        <w:br/>
        <w:t xml:space="preserve">17. </w:t>
      </w:r>
      <w:r w:rsidR="00EB5710" w:rsidRPr="000B005A">
        <w:rPr>
          <w:rFonts w:ascii="Cambria" w:eastAsia="Calibri" w:hAnsi="Cambria" w:cs="InterstateLight"/>
          <w:lang w:val="de-DE"/>
        </w:rPr>
        <w:t xml:space="preserve">Dr. Öğr. Üyesi </w:t>
      </w:r>
      <w:r w:rsidRPr="000B005A">
        <w:rPr>
          <w:rFonts w:ascii="Cambria" w:eastAsia="Calibri" w:hAnsi="Cambria" w:cs="InterstateLight"/>
          <w:lang w:val="de-DE"/>
        </w:rPr>
        <w:t>Kemal Sarıca (Işık Üniversitesi Endüstri Mühendislği Bölümü)</w:t>
      </w:r>
      <w:r w:rsidRPr="000B005A">
        <w:rPr>
          <w:rFonts w:ascii="Cambria" w:eastAsia="Calibri" w:hAnsi="Cambria" w:cs="InterstateLight"/>
          <w:lang w:val="de-DE"/>
        </w:rPr>
        <w:br/>
        <w:t>18. Prof.Dr. Ali Kerem Saysel (Boğaziçi Üniversitesi Çevre Bilimleri Enstitüsü)</w:t>
      </w:r>
      <w:r w:rsidRPr="000B005A">
        <w:rPr>
          <w:rFonts w:ascii="Cambria" w:eastAsia="Calibri" w:hAnsi="Cambria" w:cs="InterstateLight"/>
          <w:lang w:val="de-DE"/>
        </w:rPr>
        <w:br/>
        <w:t>19. Prof.Dr. Alpar Sevgen (Boğaziçi Üniversitesi Fizik Bölümü)</w:t>
      </w:r>
      <w:r w:rsidRPr="000B005A">
        <w:rPr>
          <w:rFonts w:ascii="Cambria" w:eastAsia="Calibri" w:hAnsi="Cambria" w:cs="InterstateLight"/>
          <w:lang w:val="de-DE"/>
        </w:rPr>
        <w:br/>
        <w:t>20 Doç.Dr. Berat Z. Haznedaroğlu (Boğaziçi Üniversitesi Çevre Bilimleri Enstitüsü)</w:t>
      </w:r>
    </w:p>
    <w:p w:rsidR="0079052F" w:rsidRPr="000B005A" w:rsidRDefault="0079052F" w:rsidP="0079052F">
      <w:pPr>
        <w:pStyle w:val="ListeParagraf"/>
        <w:spacing w:after="0" w:line="300" w:lineRule="exact"/>
        <w:ind w:left="426"/>
        <w:rPr>
          <w:rFonts w:ascii="Cambria" w:eastAsia="Calibri" w:hAnsi="Cambria" w:cs="InterstateLight"/>
          <w:lang w:val="de-DE"/>
        </w:rPr>
      </w:pPr>
    </w:p>
    <w:p w:rsidR="00BE57EB" w:rsidRPr="000B005A" w:rsidRDefault="00B23FC4" w:rsidP="00CC15D3">
      <w:pPr>
        <w:spacing w:after="0" w:line="300" w:lineRule="exact"/>
        <w:rPr>
          <w:rFonts w:ascii="Cambria" w:eastAsia="Calibri" w:hAnsi="Cambria" w:cs="InterstateLight"/>
          <w:lang w:val="de-DE"/>
        </w:rPr>
      </w:pPr>
      <w:r w:rsidRPr="000B005A">
        <w:rPr>
          <w:rFonts w:ascii="Cambria" w:eastAsia="Calibri" w:hAnsi="Cambria" w:cs="InterstateLight"/>
          <w:b/>
          <w:lang w:val="de-DE"/>
        </w:rPr>
        <w:t>b) Teşkilat Şeması:</w:t>
      </w:r>
      <w:r w:rsidRPr="000B005A">
        <w:rPr>
          <w:rFonts w:ascii="Cambria" w:eastAsia="Calibri" w:hAnsi="Cambria" w:cs="InterstateLight"/>
          <w:lang w:val="de-DE"/>
        </w:rPr>
        <w:t xml:space="preserve"> Birim teşkilat şeması aşağıdaki tabloda verilmiştir.</w:t>
      </w:r>
    </w:p>
    <w:p w:rsidR="00BE57EB" w:rsidRPr="000B005A" w:rsidRDefault="00BE57EB" w:rsidP="00B23FC4">
      <w:pPr>
        <w:rPr>
          <w:rFonts w:ascii="Cambria" w:eastAsia="Calibri" w:hAnsi="Cambria" w:cs="InterstateLight"/>
          <w:lang w:val="de-DE"/>
        </w:rPr>
      </w:pPr>
    </w:p>
    <w:p w:rsidR="00BE57EB" w:rsidRDefault="00BE57EB" w:rsidP="00B23FC4">
      <w:pPr>
        <w:rPr>
          <w:rFonts w:asciiTheme="majorHAnsi" w:eastAsia="Calibri" w:hAnsiTheme="majorHAnsi" w:cs="InterstateLight"/>
          <w:lang w:val="de-DE"/>
        </w:rPr>
      </w:pPr>
    </w:p>
    <w:p w:rsidR="006F381B" w:rsidRPr="006F381B" w:rsidRDefault="00001EE6" w:rsidP="006F381B">
      <w:pPr>
        <w:rPr>
          <w:rFonts w:asciiTheme="majorHAnsi" w:eastAsia="Calibri" w:hAnsiTheme="majorHAnsi" w:cs="InterstateLight"/>
          <w:lang w:val="de-DE"/>
        </w:rPr>
      </w:pPr>
      <w:r w:rsidRPr="00BE0DA0">
        <w:rPr>
          <w:rFonts w:ascii="Trebuchet MS" w:hAnsi="Trebuchet MS"/>
          <w:noProof/>
          <w:sz w:val="20"/>
          <w:szCs w:val="20"/>
          <w:lang w:eastAsia="tr-TR"/>
        </w:rPr>
        <w:drawing>
          <wp:inline distT="0" distB="0" distL="0" distR="0" wp14:anchorId="30685D1E" wp14:editId="2EC9166D">
            <wp:extent cx="5890260" cy="2453640"/>
            <wp:effectExtent l="0" t="0" r="15240"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E57EB" w:rsidRPr="00BE57EB" w:rsidRDefault="00BE57EB" w:rsidP="00BE57E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BE57EB">
        <w:rPr>
          <w:rFonts w:ascii="Cambria" w:eastAsia="Calibri" w:hAnsi="Cambria" w:cs="Times New Roman"/>
          <w:b/>
          <w:color w:val="365F91" w:themeColor="accent1" w:themeShade="BF"/>
          <w:sz w:val="28"/>
          <w:szCs w:val="28"/>
          <w:lang w:eastAsia="tr-TR"/>
        </w:rPr>
        <w:t>TOPLUMA HİZMET</w:t>
      </w:r>
    </w:p>
    <w:p w:rsidR="00BE57EB" w:rsidRPr="00BE57EB" w:rsidRDefault="00BE57EB" w:rsidP="00BE57EB">
      <w:p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EPAM tarafından yapılan araştırmalar sürdürülebilir kalkınma hedefleri doğrultusunda, sürdürülebilir bir toplum yaratmak için topluma hizmet kategorisindedir. Bu hizmetler 3 ana başlık etrafında toparlanabilir:</w:t>
      </w:r>
    </w:p>
    <w:p w:rsidR="00BE57EB" w:rsidRPr="00BE57EB" w:rsidRDefault="00BE57EB" w:rsidP="00BE57EB">
      <w:pPr>
        <w:spacing w:after="0" w:line="300" w:lineRule="exact"/>
        <w:rPr>
          <w:rFonts w:asciiTheme="majorHAnsi" w:eastAsia="Calibri" w:hAnsiTheme="majorHAnsi" w:cs="InterstateLight"/>
          <w:lang w:val="de-DE"/>
        </w:rPr>
      </w:pP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Sürdürülebilir Enerji: Sürdürülebilir kalkınma için sürdürülebilir enerji 3,7,9 ve 11 numaralı hedeflere hizmet etmektedir. Sürdürülebilir Şehirler İş Birliği Çalıştayı bu kapsamda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Yenilenebilir Enerji: Sürdürülebilir kalkınma için yenilenebilir enerji 7 ve 9 numaralı hedeflere hizmet etmektedir. Azerbaycan ile yapılan görüşmeler bu konuda değerlendirilebilir.</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 xml:space="preserve">Elektromobilite: Sürdürülebilir kalkınma için elektromobilite 3,9 ve 11 numaralı hedeflere hizmet etmektedir. Prof. Dr. Gürkan Kumbaroğlu’nun hazırladığı makale ve TÜBİTAK VE ISKTA Proje teklifleri (bakınız bölüm </w:t>
      </w:r>
      <w:r w:rsidR="00D31BDB">
        <w:rPr>
          <w:rFonts w:asciiTheme="majorHAnsi" w:eastAsia="Calibri" w:hAnsiTheme="majorHAnsi" w:cs="InterstateLight"/>
          <w:lang w:val="de-DE"/>
        </w:rPr>
        <w:t>IX</w:t>
      </w:r>
      <w:r w:rsidRPr="00BE57EB">
        <w:rPr>
          <w:rFonts w:asciiTheme="majorHAnsi" w:eastAsia="Calibri" w:hAnsiTheme="majorHAnsi" w:cs="InterstateLight"/>
          <w:lang w:val="de-DE"/>
        </w:rPr>
        <w:t>) bu kapsamda değerlendirilebilir.</w:t>
      </w:r>
    </w:p>
    <w:p w:rsidR="00BE57EB" w:rsidRDefault="00BE57EB" w:rsidP="00EA3BE2">
      <w:pPr>
        <w:spacing w:after="0" w:line="300" w:lineRule="exact"/>
        <w:rPr>
          <w:rFonts w:ascii="Cambria" w:eastAsia="Calibri" w:hAnsi="Cambria" w:cs="Times New Roman"/>
          <w:b/>
          <w:color w:val="365F91" w:themeColor="accent1" w:themeShade="BF"/>
          <w:sz w:val="28"/>
          <w:szCs w:val="28"/>
          <w:lang w:eastAsia="tr-TR"/>
        </w:rPr>
      </w:pPr>
    </w:p>
    <w:p w:rsidR="00801913" w:rsidRPr="00AA1378" w:rsidRDefault="00801913" w:rsidP="00AA13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MERKEZ TARAFINDAN DÜZENLENEN BİLİMSEL TOPLANTILAR</w:t>
      </w:r>
    </w:p>
    <w:p w:rsidR="00AA1378" w:rsidRPr="00AA1378" w:rsidRDefault="00AA1378" w:rsidP="00AA1378">
      <w:pPr>
        <w:autoSpaceDE w:val="0"/>
        <w:autoSpaceDN w:val="0"/>
        <w:adjustRightInd w:val="0"/>
        <w:spacing w:after="0" w:line="300" w:lineRule="exact"/>
        <w:rPr>
          <w:rFonts w:asciiTheme="majorHAnsi" w:hAnsiTheme="majorHAnsi"/>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01"/>
        <w:gridCol w:w="3538"/>
        <w:gridCol w:w="1701"/>
      </w:tblGrid>
      <w:tr w:rsidR="00801913" w:rsidRPr="00801913" w:rsidTr="006B2BC5">
        <w:trPr>
          <w:trHeight w:val="807"/>
        </w:trPr>
        <w:tc>
          <w:tcPr>
            <w:tcW w:w="2269" w:type="dxa"/>
            <w:shd w:val="clear" w:color="auto" w:fill="auto"/>
            <w:vAlign w:val="center"/>
          </w:tcPr>
          <w:p w:rsidR="00801913" w:rsidRPr="00801913" w:rsidRDefault="00801913" w:rsidP="00801913">
            <w:pPr>
              <w:spacing w:after="0" w:line="360" w:lineRule="auto"/>
              <w:jc w:val="center"/>
              <w:rPr>
                <w:rFonts w:ascii="Cambria" w:eastAsia="Times New Roman" w:hAnsi="Cambria" w:cs="Times New Roman"/>
                <w:b/>
                <w:bCs/>
                <w:lang w:val="en-US" w:eastAsia="zh-CN"/>
              </w:rPr>
            </w:pPr>
            <w:r w:rsidRPr="00801913">
              <w:rPr>
                <w:rFonts w:ascii="Cambria" w:eastAsia="Times New Roman" w:hAnsi="Cambria" w:cs="Times New Roman"/>
                <w:b/>
                <w:bCs/>
                <w:lang w:val="en-US" w:eastAsia="zh-CN"/>
              </w:rPr>
              <w:t>Faaliyetin Tarihi (leri)</w:t>
            </w:r>
          </w:p>
        </w:tc>
        <w:tc>
          <w:tcPr>
            <w:tcW w:w="1701" w:type="dxa"/>
            <w:shd w:val="clear" w:color="auto" w:fill="auto"/>
            <w:vAlign w:val="center"/>
          </w:tcPr>
          <w:p w:rsidR="00801913" w:rsidRPr="00801913" w:rsidRDefault="00801913" w:rsidP="00801913">
            <w:pPr>
              <w:spacing w:after="0" w:line="360" w:lineRule="auto"/>
              <w:jc w:val="center"/>
              <w:rPr>
                <w:rFonts w:ascii="Cambria" w:eastAsia="Times New Roman" w:hAnsi="Cambria" w:cs="Times New Roman"/>
                <w:b/>
                <w:bCs/>
                <w:lang w:val="en-US" w:eastAsia="zh-CN"/>
              </w:rPr>
            </w:pPr>
            <w:r w:rsidRPr="00801913">
              <w:rPr>
                <w:rFonts w:ascii="Cambria" w:eastAsia="Times New Roman" w:hAnsi="Cambria" w:cs="Times New Roman"/>
                <w:b/>
                <w:bCs/>
                <w:lang w:val="en-US" w:eastAsia="zh-CN"/>
              </w:rPr>
              <w:t>Faaliyetin Türü</w:t>
            </w:r>
          </w:p>
        </w:tc>
        <w:tc>
          <w:tcPr>
            <w:tcW w:w="3538" w:type="dxa"/>
            <w:shd w:val="clear" w:color="auto" w:fill="auto"/>
            <w:vAlign w:val="center"/>
          </w:tcPr>
          <w:p w:rsidR="00801913" w:rsidRPr="00801913" w:rsidRDefault="00801913" w:rsidP="00801913">
            <w:pPr>
              <w:spacing w:after="0" w:line="360" w:lineRule="auto"/>
              <w:jc w:val="center"/>
              <w:rPr>
                <w:rFonts w:ascii="Cambria" w:eastAsia="Times New Roman" w:hAnsi="Cambria" w:cs="Times New Roman"/>
                <w:b/>
                <w:bCs/>
                <w:lang w:val="en-US" w:eastAsia="zh-CN"/>
              </w:rPr>
            </w:pPr>
            <w:r w:rsidRPr="00801913">
              <w:rPr>
                <w:rFonts w:ascii="Cambria" w:eastAsia="Times New Roman" w:hAnsi="Cambria" w:cs="Times New Roman"/>
                <w:b/>
                <w:bCs/>
                <w:lang w:val="en-US" w:eastAsia="zh-CN"/>
              </w:rPr>
              <w:t>Faliyetin Adı</w:t>
            </w:r>
          </w:p>
        </w:tc>
        <w:tc>
          <w:tcPr>
            <w:tcW w:w="1701" w:type="dxa"/>
            <w:shd w:val="clear" w:color="auto" w:fill="auto"/>
            <w:vAlign w:val="center"/>
          </w:tcPr>
          <w:p w:rsidR="00801913" w:rsidRPr="00801913" w:rsidRDefault="00801913" w:rsidP="00801913">
            <w:pPr>
              <w:spacing w:after="0" w:line="360" w:lineRule="auto"/>
              <w:jc w:val="center"/>
              <w:rPr>
                <w:rFonts w:ascii="Cambria" w:eastAsia="Times New Roman" w:hAnsi="Cambria" w:cs="Times New Roman"/>
                <w:b/>
                <w:bCs/>
                <w:lang w:val="en-US" w:eastAsia="zh-CN"/>
              </w:rPr>
            </w:pPr>
            <w:r w:rsidRPr="00801913">
              <w:rPr>
                <w:rFonts w:ascii="Cambria" w:eastAsia="Times New Roman" w:hAnsi="Cambria" w:cs="Times New Roman"/>
                <w:b/>
                <w:bCs/>
                <w:lang w:val="en-US" w:eastAsia="zh-CN"/>
              </w:rPr>
              <w:t>Faaliyeti Yapan Birimin Adı</w:t>
            </w:r>
          </w:p>
        </w:tc>
      </w:tr>
      <w:tr w:rsidR="00801913" w:rsidRPr="00801913" w:rsidTr="006B2BC5">
        <w:trPr>
          <w:trHeight w:val="585"/>
        </w:trPr>
        <w:tc>
          <w:tcPr>
            <w:tcW w:w="2269" w:type="dxa"/>
            <w:shd w:val="clear" w:color="auto" w:fill="auto"/>
            <w:vAlign w:val="center"/>
          </w:tcPr>
          <w:p w:rsidR="00801913" w:rsidRPr="00801913" w:rsidRDefault="00801913" w:rsidP="00801913">
            <w:pPr>
              <w:spacing w:after="0" w:line="360" w:lineRule="auto"/>
              <w:jc w:val="center"/>
              <w:rPr>
                <w:rFonts w:ascii="Cambria" w:eastAsia="Times New Roman" w:hAnsi="Cambria" w:cs="Times New Roman"/>
                <w:lang w:val="en-US" w:eastAsia="zh-CN"/>
              </w:rPr>
            </w:pPr>
            <w:r w:rsidRPr="00801913">
              <w:rPr>
                <w:rFonts w:ascii="Cambria" w:eastAsia="Times New Roman" w:hAnsi="Cambria" w:cs="Times New Roman"/>
                <w:lang w:val="en-US" w:eastAsia="zh-CN"/>
              </w:rPr>
              <w:t>25-24 Haziran 2024</w:t>
            </w:r>
          </w:p>
        </w:tc>
        <w:tc>
          <w:tcPr>
            <w:tcW w:w="1701" w:type="dxa"/>
            <w:shd w:val="clear" w:color="auto" w:fill="auto"/>
            <w:vAlign w:val="center"/>
          </w:tcPr>
          <w:p w:rsidR="00801913" w:rsidRPr="00801913" w:rsidRDefault="00801913" w:rsidP="00801913">
            <w:pPr>
              <w:spacing w:after="0" w:line="360" w:lineRule="auto"/>
              <w:jc w:val="center"/>
              <w:rPr>
                <w:rFonts w:ascii="Cambria" w:eastAsia="Times New Roman" w:hAnsi="Cambria" w:cs="Times New Roman"/>
                <w:lang w:val="en-US" w:eastAsia="zh-CN"/>
              </w:rPr>
            </w:pPr>
            <w:r w:rsidRPr="00801913">
              <w:rPr>
                <w:rFonts w:ascii="Cambria" w:eastAsia="Times New Roman" w:hAnsi="Cambria" w:cs="Times New Roman"/>
                <w:lang w:val="en-US" w:eastAsia="zh-CN"/>
              </w:rPr>
              <w:t>Konferans</w:t>
            </w:r>
          </w:p>
        </w:tc>
        <w:tc>
          <w:tcPr>
            <w:tcW w:w="3538" w:type="dxa"/>
            <w:shd w:val="clear" w:color="auto" w:fill="auto"/>
            <w:vAlign w:val="center"/>
          </w:tcPr>
          <w:p w:rsidR="00801913" w:rsidRPr="00801913" w:rsidRDefault="00801913" w:rsidP="00801913">
            <w:pPr>
              <w:spacing w:line="240" w:lineRule="auto"/>
              <w:rPr>
                <w:rFonts w:ascii="Cambria" w:eastAsia="Calibri" w:hAnsi="Cambria" w:cs="Times New Roman"/>
                <w:color w:val="000000"/>
              </w:rPr>
            </w:pPr>
            <w:r w:rsidRPr="00801913">
              <w:rPr>
                <w:rFonts w:ascii="Cambria" w:eastAsia="Calibri" w:hAnsi="Cambria" w:cs="Times New Roman"/>
                <w:color w:val="000000"/>
              </w:rPr>
              <w:t>IAEE 45th INTERNATIONAL CONFERENCE ISTANBUL 2024 "Energy Sustainability, Security, Efficiency and Accessibility in a Time of Transition" Boğaziçi Üniversitesi  / 25 - 28 June 2024</w:t>
            </w:r>
          </w:p>
        </w:tc>
        <w:tc>
          <w:tcPr>
            <w:tcW w:w="1701" w:type="dxa"/>
            <w:shd w:val="clear" w:color="auto" w:fill="auto"/>
          </w:tcPr>
          <w:p w:rsidR="00801913" w:rsidRPr="00801913" w:rsidRDefault="00801913" w:rsidP="00801913">
            <w:pPr>
              <w:spacing w:after="0" w:line="360" w:lineRule="auto"/>
              <w:jc w:val="center"/>
              <w:rPr>
                <w:rFonts w:ascii="Cambria" w:eastAsia="Times New Roman" w:hAnsi="Cambria" w:cs="Times New Roman"/>
                <w:b/>
                <w:bCs/>
                <w:lang w:val="en-US" w:eastAsia="zh-CN"/>
              </w:rPr>
            </w:pPr>
            <w:r w:rsidRPr="000B005A">
              <w:rPr>
                <w:rFonts w:ascii="Cambria" w:eastAsia="Calibri" w:hAnsi="Cambria" w:cs="InterstateLight"/>
                <w:lang w:val="de-DE"/>
              </w:rPr>
              <w:t xml:space="preserve">Enerji Politikaları </w:t>
            </w:r>
            <w:r>
              <w:rPr>
                <w:rFonts w:ascii="Cambria" w:eastAsia="Calibri" w:hAnsi="Cambria" w:cs="InterstateLight"/>
                <w:lang w:val="de-DE"/>
              </w:rPr>
              <w:t>Araştırma ve Uygulama Merkezi</w:t>
            </w:r>
          </w:p>
        </w:tc>
      </w:tr>
    </w:tbl>
    <w:p w:rsidR="00AA1378" w:rsidRDefault="00AA1378" w:rsidP="007D1A22">
      <w:pPr>
        <w:spacing w:after="0" w:line="300" w:lineRule="exact"/>
        <w:rPr>
          <w:rFonts w:ascii="Cambria" w:eastAsia="Calibri" w:hAnsi="Cambria" w:cs="Times New Roman"/>
          <w:b/>
          <w:color w:val="365F91" w:themeColor="accent1" w:themeShade="BF"/>
          <w:sz w:val="28"/>
          <w:szCs w:val="28"/>
          <w:lang w:eastAsia="tr-TR"/>
        </w:rPr>
      </w:pPr>
    </w:p>
    <w:p w:rsidR="00AA1378" w:rsidRDefault="00AA1378" w:rsidP="007D1A22">
      <w:pPr>
        <w:spacing w:after="0" w:line="300" w:lineRule="exact"/>
        <w:rPr>
          <w:rFonts w:ascii="Cambria" w:eastAsia="Calibri" w:hAnsi="Cambria" w:cs="Times New Roman"/>
          <w:b/>
          <w:color w:val="365F91" w:themeColor="accent1" w:themeShade="BF"/>
          <w:sz w:val="28"/>
          <w:szCs w:val="28"/>
          <w:lang w:eastAsia="tr-TR"/>
        </w:rPr>
      </w:pPr>
    </w:p>
    <w:p w:rsidR="007D1A22" w:rsidRPr="007D1A22" w:rsidRDefault="007D1A22" w:rsidP="007D1A22">
      <w:pPr>
        <w:spacing w:after="0" w:line="300" w:lineRule="exact"/>
        <w:rPr>
          <w:rFonts w:ascii="Trebuchet MS" w:hAnsi="Trebuchet MS"/>
        </w:rPr>
      </w:pPr>
      <w:r>
        <w:rPr>
          <w:rFonts w:ascii="Cambria" w:eastAsia="Calibri" w:hAnsi="Cambria" w:cs="Times New Roman"/>
          <w:b/>
          <w:color w:val="365F91" w:themeColor="accent1" w:themeShade="BF"/>
          <w:sz w:val="28"/>
          <w:szCs w:val="28"/>
          <w:lang w:eastAsia="tr-TR"/>
        </w:rPr>
        <w:t>VII-</w:t>
      </w:r>
      <w:r w:rsidRPr="007D1A22">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7D1A22" w:rsidRPr="00FA089E" w:rsidRDefault="007D1A22" w:rsidP="007D1A22">
      <w:pPr>
        <w:spacing w:line="240" w:lineRule="auto"/>
        <w:jc w:val="both"/>
        <w:rPr>
          <w:rFonts w:ascii="Trebuchet MS" w:hAnsi="Trebuchet MS" w:cs="Times New Roman"/>
          <w:lang w:val="en-US"/>
        </w:rPr>
      </w:pPr>
    </w:p>
    <w:p w:rsidR="00416690" w:rsidRPr="006F381B" w:rsidRDefault="006F381B" w:rsidP="006F381B">
      <w:pPr>
        <w:spacing w:line="240" w:lineRule="auto"/>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 xml:space="preserve">       </w:t>
      </w:r>
      <w:r w:rsidR="007D1A22" w:rsidRPr="006F381B">
        <w:rPr>
          <w:rFonts w:ascii="Cambria" w:eastAsia="Calibri" w:hAnsi="Cambria" w:cs="Times New Roman"/>
          <w:b/>
          <w:color w:val="365F91" w:themeColor="accent1" w:themeShade="BF"/>
          <w:sz w:val="24"/>
          <w:szCs w:val="24"/>
          <w:lang w:eastAsia="tr-TR"/>
        </w:rPr>
        <w:t>Makale</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DejaVu Sans"/>
          <w:color w:val="00000A"/>
          <w:lang w:eastAsia="zh-CN"/>
        </w:rPr>
      </w:pPr>
      <w:r w:rsidRPr="006B2BC5">
        <w:rPr>
          <w:rFonts w:ascii="Cambria" w:eastAsia="SimSun" w:hAnsi="Cambria" w:cs="Arial"/>
          <w:color w:val="222222"/>
          <w:shd w:val="clear" w:color="auto" w:fill="FFFFFF"/>
          <w:lang w:eastAsia="zh-CN"/>
        </w:rPr>
        <w:t>Adaman, F. (2024). Legal Pathways for Climate Resilience: A Study of Adaptation Laws and Policies in Vulnerable Regions. </w:t>
      </w:r>
      <w:r w:rsidRPr="006B2BC5">
        <w:rPr>
          <w:rFonts w:ascii="Cambria" w:eastAsia="SimSun" w:hAnsi="Cambria" w:cs="Arial"/>
          <w:i/>
          <w:iCs/>
          <w:color w:val="222222"/>
          <w:shd w:val="clear" w:color="auto" w:fill="FFFFFF"/>
          <w:lang w:eastAsia="zh-CN"/>
        </w:rPr>
        <w:t>Mayo RC journal of communication for sustainable world</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1</w:t>
      </w:r>
      <w:r w:rsidRPr="006B2BC5">
        <w:rPr>
          <w:rFonts w:ascii="Cambria" w:eastAsia="SimSun" w:hAnsi="Cambria" w:cs="Arial"/>
          <w:color w:val="222222"/>
          <w:shd w:val="clear" w:color="auto" w:fill="FFFFFF"/>
          <w:lang w:eastAsia="zh-CN"/>
        </w:rPr>
        <w:t>(2), 23-31.</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DejaVu Sans"/>
          <w:color w:val="00000A"/>
          <w:lang w:eastAsia="zh-CN"/>
        </w:rPr>
      </w:pPr>
      <w:r w:rsidRPr="006B2BC5">
        <w:rPr>
          <w:rFonts w:ascii="Cambria" w:eastAsia="SimSun" w:hAnsi="Cambria" w:cs="Arial"/>
          <w:color w:val="222222"/>
          <w:shd w:val="clear" w:color="auto" w:fill="FFFFFF"/>
          <w:lang w:eastAsia="zh-CN"/>
        </w:rPr>
        <w:t>Öztepe, C</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Mutlu, E. C., Caglayan, B. S., &amp; Aksoylu, A. E. (2024). Utilizing CO2 and rejected H2 from FP-PEMFC system: A combined experimental and modelling study on CO2 methanation with low H2/CO2 over Ni–La/Al2O3. </w:t>
      </w:r>
      <w:r w:rsidRPr="006B2BC5">
        <w:rPr>
          <w:rFonts w:ascii="Cambria" w:eastAsia="SimSun" w:hAnsi="Cambria" w:cs="Arial"/>
          <w:i/>
          <w:iCs/>
          <w:color w:val="222222"/>
          <w:shd w:val="clear" w:color="auto" w:fill="FFFFFF"/>
          <w:lang w:eastAsia="zh-CN"/>
        </w:rPr>
        <w:t>International Journal of Hydrogen Energy</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88</w:t>
      </w:r>
      <w:r w:rsidRPr="006B2BC5">
        <w:rPr>
          <w:rFonts w:ascii="Cambria" w:eastAsia="SimSun" w:hAnsi="Cambria" w:cs="Arial"/>
          <w:color w:val="222222"/>
          <w:shd w:val="clear" w:color="auto" w:fill="FFFFFF"/>
          <w:lang w:eastAsia="zh-CN"/>
        </w:rPr>
        <w:t>, 815-829</w:t>
      </w:r>
      <w:proofErr w:type="gramStart"/>
      <w:r w:rsidRPr="006B2BC5">
        <w:rPr>
          <w:rFonts w:ascii="Cambria" w:eastAsia="SimSun" w:hAnsi="Cambria" w:cs="Arial"/>
          <w:color w:val="222222"/>
          <w:shd w:val="clear" w:color="auto" w:fill="FFFFFF"/>
          <w:lang w:eastAsia="zh-CN"/>
        </w:rPr>
        <w:t>.</w:t>
      </w:r>
      <w:r w:rsidRPr="006B2BC5">
        <w:rPr>
          <w:rFonts w:ascii="Cambria" w:eastAsia="SimSun" w:hAnsi="Cambria" w:cs="DejaVu Sans"/>
          <w:color w:val="00000A"/>
          <w:lang w:eastAsia="zh-CN"/>
        </w:rPr>
        <w:t>.</w:t>
      </w:r>
      <w:proofErr w:type="gramEnd"/>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DejaVu Sans"/>
          <w:color w:val="00000A"/>
          <w:lang w:eastAsia="zh-CN"/>
        </w:rPr>
      </w:pPr>
      <w:r w:rsidRPr="006B2BC5">
        <w:rPr>
          <w:rFonts w:ascii="Cambria" w:eastAsia="SimSun" w:hAnsi="Cambria" w:cs="Arial"/>
          <w:color w:val="222222"/>
          <w:shd w:val="clear" w:color="auto" w:fill="FFFFFF"/>
          <w:lang w:eastAsia="zh-CN"/>
        </w:rPr>
        <w:t>Bulut, B</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Atakül, H., Aksoylu, A. E., &amp; Tantekin-Ersolmaz, Ş. B. (2024). Deep adsorptive desulfurization of liquefied petroleum gas over Cu ion-exchanged Y zeolite. </w:t>
      </w:r>
      <w:r w:rsidRPr="006B2BC5">
        <w:rPr>
          <w:rFonts w:ascii="Cambria" w:eastAsia="SimSun" w:hAnsi="Cambria" w:cs="Arial"/>
          <w:i/>
          <w:iCs/>
          <w:color w:val="222222"/>
          <w:shd w:val="clear" w:color="auto" w:fill="FFFFFF"/>
          <w:lang w:eastAsia="zh-CN"/>
        </w:rPr>
        <w:t>Separation and Purification Technology</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338</w:t>
      </w:r>
      <w:r w:rsidRPr="006B2BC5">
        <w:rPr>
          <w:rFonts w:ascii="Cambria" w:eastAsia="SimSun" w:hAnsi="Cambria" w:cs="Arial"/>
          <w:color w:val="222222"/>
          <w:shd w:val="clear" w:color="auto" w:fill="FFFFFF"/>
          <w:lang w:eastAsia="zh-CN"/>
        </w:rPr>
        <w:t>, 126431.</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Otuzoğlu, J</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&amp; Demircan, O. (2024). The Utilization of Bimetallic Fe–Co Metal Organic Framework as a Catalyst for the Oxygen Reduction Reaction in Microbial Fuel Cells Cathode. </w:t>
      </w:r>
      <w:r w:rsidRPr="006B2BC5">
        <w:rPr>
          <w:rFonts w:ascii="Cambria" w:eastAsia="SimSun" w:hAnsi="Cambria" w:cs="Arial"/>
          <w:i/>
          <w:iCs/>
          <w:color w:val="222222"/>
          <w:shd w:val="clear" w:color="auto" w:fill="FFFFFF"/>
          <w:lang w:eastAsia="zh-CN"/>
        </w:rPr>
        <w:t>Journal of Inorganic and Organometallic Polymers and Materials</w:t>
      </w:r>
      <w:r w:rsidRPr="006B2BC5">
        <w:rPr>
          <w:rFonts w:ascii="Cambria" w:eastAsia="SimSun" w:hAnsi="Cambria" w:cs="Arial"/>
          <w:color w:val="222222"/>
          <w:shd w:val="clear" w:color="auto" w:fill="FFFFFF"/>
          <w:lang w:eastAsia="zh-CN"/>
        </w:rPr>
        <w:t>, 1-10.</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Kisa, A. E</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&amp; Demircan, O. (2024). Fabrication and performance analysis of A-site metal-promoted La0. 595V0. 005Sr0. 4CoO3−∂ perovskite oxides as cathodes for intermediate temperature solid oxide fuel cells. </w:t>
      </w:r>
      <w:r w:rsidRPr="006B2BC5">
        <w:rPr>
          <w:rFonts w:ascii="Cambria" w:eastAsia="SimSun" w:hAnsi="Cambria" w:cs="Arial"/>
          <w:i/>
          <w:iCs/>
          <w:color w:val="222222"/>
          <w:shd w:val="clear" w:color="auto" w:fill="FFFFFF"/>
          <w:lang w:eastAsia="zh-CN"/>
        </w:rPr>
        <w:t>Journal of Solid State Electrochemistry</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28</w:t>
      </w:r>
      <w:r w:rsidRPr="006B2BC5">
        <w:rPr>
          <w:rFonts w:ascii="Cambria" w:eastAsia="SimSun" w:hAnsi="Cambria" w:cs="Arial"/>
          <w:color w:val="222222"/>
          <w:shd w:val="clear" w:color="auto" w:fill="FFFFFF"/>
          <w:lang w:eastAsia="zh-CN"/>
        </w:rPr>
        <w:t>(6), 1785-1798.</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lastRenderedPageBreak/>
        <w:t>Zhao, Y</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Bozkurt, Ö. D., Kurtoğlu-Öztulum, S. F., Yordanli, M. S., Hoffman, A. S., Hong, J., ... &amp; Uzun, A. (2024). Atomically dispersed zeolite-supported rhodium complex: Selective and stable catalyst for acetylene semi-hydrogenation. </w:t>
      </w:r>
      <w:r w:rsidRPr="006B2BC5">
        <w:rPr>
          <w:rFonts w:ascii="Cambria" w:eastAsia="SimSun" w:hAnsi="Cambria" w:cs="Arial"/>
          <w:i/>
          <w:iCs/>
          <w:color w:val="222222"/>
          <w:shd w:val="clear" w:color="auto" w:fill="FFFFFF"/>
          <w:lang w:eastAsia="zh-CN"/>
        </w:rPr>
        <w:t>Journal of Catalysis</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429</w:t>
      </w:r>
      <w:r w:rsidRPr="006B2BC5">
        <w:rPr>
          <w:rFonts w:ascii="Cambria" w:eastAsia="SimSun" w:hAnsi="Cambria" w:cs="Arial"/>
          <w:color w:val="222222"/>
          <w:shd w:val="clear" w:color="auto" w:fill="FFFFFF"/>
          <w:lang w:eastAsia="zh-CN"/>
        </w:rPr>
        <w:t>, 115196.</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Ülger-Vatansever, B</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Onay, T. T., &amp; Demirel, B. (2024). Evaluation of bioplastics biodegradation under simulated landfill conditions. </w:t>
      </w:r>
      <w:r w:rsidRPr="006B2BC5">
        <w:rPr>
          <w:rFonts w:ascii="Cambria" w:eastAsia="SimSun" w:hAnsi="Cambria" w:cs="Arial"/>
          <w:i/>
          <w:iCs/>
          <w:color w:val="222222"/>
          <w:shd w:val="clear" w:color="auto" w:fill="FFFFFF"/>
          <w:lang w:eastAsia="zh-CN"/>
        </w:rPr>
        <w:t>Environmental Science and Pollution Research</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31</w:t>
      </w:r>
      <w:r w:rsidRPr="006B2BC5">
        <w:rPr>
          <w:rFonts w:ascii="Cambria" w:eastAsia="SimSun" w:hAnsi="Cambria" w:cs="Arial"/>
          <w:color w:val="222222"/>
          <w:shd w:val="clear" w:color="auto" w:fill="FFFFFF"/>
          <w:lang w:eastAsia="zh-CN"/>
        </w:rPr>
        <w:t>(12), 17779-17787.</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Tetik Kollugil, E</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Sarıca, K., &amp; Topcu, Y. I. (2024). Electric vehicles as an emission mitigation option: expectations and reality. </w:t>
      </w:r>
      <w:r w:rsidRPr="006B2BC5">
        <w:rPr>
          <w:rFonts w:ascii="Cambria" w:eastAsia="SimSun" w:hAnsi="Cambria" w:cs="Arial"/>
          <w:i/>
          <w:iCs/>
          <w:color w:val="222222"/>
          <w:shd w:val="clear" w:color="auto" w:fill="FFFFFF"/>
          <w:lang w:eastAsia="zh-CN"/>
        </w:rPr>
        <w:t>Clean Technologies and Environmental Policy</w:t>
      </w:r>
      <w:r w:rsidRPr="006B2BC5">
        <w:rPr>
          <w:rFonts w:ascii="Cambria" w:eastAsia="SimSun" w:hAnsi="Cambria" w:cs="Arial"/>
          <w:color w:val="222222"/>
          <w:shd w:val="clear" w:color="auto" w:fill="FFFFFF"/>
          <w:lang w:eastAsia="zh-CN"/>
        </w:rPr>
        <w:t>, 1-22.</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Tetik Kollugil, E</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Sarıca, K., &amp; Topcu, Y. I. (2024). Electric vehicles as an emission mitigation option: expectations and reality. </w:t>
      </w:r>
      <w:r w:rsidRPr="006B2BC5">
        <w:rPr>
          <w:rFonts w:ascii="Cambria" w:eastAsia="SimSun" w:hAnsi="Cambria" w:cs="Arial"/>
          <w:i/>
          <w:iCs/>
          <w:color w:val="222222"/>
          <w:shd w:val="clear" w:color="auto" w:fill="FFFFFF"/>
          <w:lang w:eastAsia="zh-CN"/>
        </w:rPr>
        <w:t>Clean Technologies and Environmental Policy</w:t>
      </w:r>
      <w:r w:rsidRPr="006B2BC5">
        <w:rPr>
          <w:rFonts w:ascii="Cambria" w:eastAsia="SimSun" w:hAnsi="Cambria" w:cs="Arial"/>
          <w:color w:val="222222"/>
          <w:shd w:val="clear" w:color="auto" w:fill="FFFFFF"/>
          <w:lang w:eastAsia="zh-CN"/>
        </w:rPr>
        <w:t>, 1-22.</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Mutlu</w:t>
      </w:r>
      <w:r w:rsidRPr="006B2BC5">
        <w:rPr>
          <w:rFonts w:ascii="Cambria" w:eastAsia="SimSun" w:hAnsi="Cambria" w:cs="Cambria Math"/>
          <w:color w:val="222222"/>
          <w:shd w:val="clear" w:color="auto" w:fill="FFFFFF"/>
          <w:lang w:eastAsia="zh-CN"/>
        </w:rPr>
        <w:t>‐</w:t>
      </w:r>
      <w:r w:rsidRPr="006B2BC5">
        <w:rPr>
          <w:rFonts w:ascii="Cambria" w:eastAsia="SimSun" w:hAnsi="Cambria" w:cs="Arial"/>
          <w:color w:val="222222"/>
          <w:shd w:val="clear" w:color="auto" w:fill="FFFFFF"/>
          <w:lang w:eastAsia="zh-CN"/>
        </w:rPr>
        <w:t>Durak, H</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Arikan</w:t>
      </w:r>
      <w:r w:rsidRPr="006B2BC5">
        <w:rPr>
          <w:rFonts w:ascii="Cambria" w:eastAsia="SimSun" w:hAnsi="Cambria" w:cs="Cambria Math"/>
          <w:color w:val="222222"/>
          <w:shd w:val="clear" w:color="auto" w:fill="FFFFFF"/>
          <w:lang w:eastAsia="zh-CN"/>
        </w:rPr>
        <w:t>‐</w:t>
      </w:r>
      <w:r w:rsidRPr="006B2BC5">
        <w:rPr>
          <w:rFonts w:ascii="Cambria" w:eastAsia="SimSun" w:hAnsi="Cambria" w:cs="Arial"/>
          <w:color w:val="222222"/>
          <w:shd w:val="clear" w:color="auto" w:fill="FFFFFF"/>
          <w:lang w:eastAsia="zh-CN"/>
        </w:rPr>
        <w:t>Algul, Y., Bayram, E., Haznedaroglu, B. Z., Kutman, U. B., &amp; Kutman, B. Y. (2024). Various extracts of the brown seaweed Cystoseira barbata with different compositions exert biostimulant effects on seedling growth of wheat. </w:t>
      </w:r>
      <w:r w:rsidRPr="006B2BC5">
        <w:rPr>
          <w:rFonts w:ascii="Cambria" w:eastAsia="SimSun" w:hAnsi="Cambria" w:cs="Arial"/>
          <w:i/>
          <w:iCs/>
          <w:color w:val="222222"/>
          <w:shd w:val="clear" w:color="auto" w:fill="FFFFFF"/>
          <w:lang w:eastAsia="zh-CN"/>
        </w:rPr>
        <w:t>Physiologia Plantarum</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176</w:t>
      </w:r>
      <w:r w:rsidRPr="006B2BC5">
        <w:rPr>
          <w:rFonts w:ascii="Cambria" w:eastAsia="SimSun" w:hAnsi="Cambria" w:cs="Arial"/>
          <w:color w:val="222222"/>
          <w:shd w:val="clear" w:color="auto" w:fill="FFFFFF"/>
          <w:lang w:eastAsia="zh-CN"/>
        </w:rPr>
        <w:t>(4), e14503.</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Yousefzadeh, H</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Borhan, E., Haznedaroglu, B. Z., Uzun, A., &amp; Erkey, C. (2024). Hydrothermal liquefaction of Chlamydomonas nivalis and Nannochloropsis gaditana microalgae under different operating conditions over copper-exchanged zeolites. </w:t>
      </w:r>
      <w:r w:rsidRPr="006B2BC5">
        <w:rPr>
          <w:rFonts w:ascii="Cambria" w:eastAsia="SimSun" w:hAnsi="Cambria" w:cs="Arial"/>
          <w:i/>
          <w:iCs/>
          <w:color w:val="222222"/>
          <w:shd w:val="clear" w:color="auto" w:fill="FFFFFF"/>
          <w:lang w:eastAsia="zh-CN"/>
        </w:rPr>
        <w:t>Biochemical Engineering Journal</w:t>
      </w:r>
      <w:r w:rsidRPr="006B2BC5">
        <w:rPr>
          <w:rFonts w:ascii="Cambria" w:eastAsia="SimSun" w:hAnsi="Cambria" w:cs="Arial"/>
          <w:color w:val="222222"/>
          <w:shd w:val="clear" w:color="auto" w:fill="FFFFFF"/>
          <w:lang w:eastAsia="zh-CN"/>
        </w:rPr>
        <w:t>, </w:t>
      </w:r>
      <w:r w:rsidRPr="006B2BC5">
        <w:rPr>
          <w:rFonts w:ascii="Cambria" w:eastAsia="SimSun" w:hAnsi="Cambria" w:cs="Arial"/>
          <w:i/>
          <w:iCs/>
          <w:color w:val="222222"/>
          <w:shd w:val="clear" w:color="auto" w:fill="FFFFFF"/>
          <w:lang w:eastAsia="zh-CN"/>
        </w:rPr>
        <w:t>205</w:t>
      </w:r>
      <w:r w:rsidRPr="006B2BC5">
        <w:rPr>
          <w:rFonts w:ascii="Cambria" w:eastAsia="SimSun" w:hAnsi="Cambria" w:cs="Arial"/>
          <w:color w:val="222222"/>
          <w:shd w:val="clear" w:color="auto" w:fill="FFFFFF"/>
          <w:lang w:eastAsia="zh-CN"/>
        </w:rPr>
        <w:t>, 109237.</w:t>
      </w:r>
    </w:p>
    <w:p w:rsidR="006B2BC5" w:rsidRPr="006B2BC5" w:rsidRDefault="006B2BC5" w:rsidP="005249DC">
      <w:pPr>
        <w:numPr>
          <w:ilvl w:val="2"/>
          <w:numId w:val="23"/>
        </w:numPr>
        <w:suppressAutoHyphens/>
        <w:spacing w:after="0" w:line="240" w:lineRule="auto"/>
        <w:ind w:left="742" w:hanging="742"/>
        <w:contextualSpacing/>
        <w:jc w:val="both"/>
        <w:rPr>
          <w:rFonts w:ascii="Cambria" w:eastAsia="SimSun" w:hAnsi="Cambria" w:cs="Times New Roman"/>
          <w:lang w:eastAsia="zh-CN"/>
        </w:rPr>
      </w:pPr>
      <w:r w:rsidRPr="006B2BC5">
        <w:rPr>
          <w:rFonts w:ascii="Cambria" w:eastAsia="SimSun" w:hAnsi="Cambria" w:cs="Arial"/>
          <w:color w:val="222222"/>
          <w:shd w:val="clear" w:color="auto" w:fill="FFFFFF"/>
          <w:lang w:eastAsia="zh-CN"/>
        </w:rPr>
        <w:t>Sabotič, J</w:t>
      </w:r>
      <w:proofErr w:type="gramStart"/>
      <w:r w:rsidRPr="006B2BC5">
        <w:rPr>
          <w:rFonts w:ascii="Cambria" w:eastAsia="SimSun" w:hAnsi="Cambria" w:cs="Arial"/>
          <w:color w:val="222222"/>
          <w:shd w:val="clear" w:color="auto" w:fill="FFFFFF"/>
          <w:lang w:eastAsia="zh-CN"/>
        </w:rPr>
        <w:t>.,</w:t>
      </w:r>
      <w:proofErr w:type="gramEnd"/>
      <w:r w:rsidRPr="006B2BC5">
        <w:rPr>
          <w:rFonts w:ascii="Cambria" w:eastAsia="SimSun" w:hAnsi="Cambria" w:cs="Arial"/>
          <w:color w:val="222222"/>
          <w:shd w:val="clear" w:color="auto" w:fill="FFFFFF"/>
          <w:lang w:eastAsia="zh-CN"/>
        </w:rPr>
        <w:t xml:space="preserve"> Bayram, E., Ezra, D., Gaudêncio, S. P., Haznedaroğlu, B. Z., Janež, N., ... &amp; Vasquez, M. I. (2024). A guide to the use of bioassays in exploration of natural resources. </w:t>
      </w:r>
      <w:r w:rsidRPr="006B2BC5">
        <w:rPr>
          <w:rFonts w:ascii="Cambria" w:eastAsia="SimSun" w:hAnsi="Cambria" w:cs="Arial"/>
          <w:i/>
          <w:iCs/>
          <w:color w:val="222222"/>
          <w:shd w:val="clear" w:color="auto" w:fill="FFFFFF"/>
          <w:lang w:eastAsia="zh-CN"/>
        </w:rPr>
        <w:t>Biotechnology Advances</w:t>
      </w:r>
      <w:r w:rsidRPr="006B2BC5">
        <w:rPr>
          <w:rFonts w:ascii="Cambria" w:eastAsia="SimSun" w:hAnsi="Cambria" w:cs="Arial"/>
          <w:color w:val="222222"/>
          <w:shd w:val="clear" w:color="auto" w:fill="FFFFFF"/>
          <w:lang w:eastAsia="zh-CN"/>
        </w:rPr>
        <w:t>, 108307.</w:t>
      </w:r>
    </w:p>
    <w:p w:rsidR="006B2BC5" w:rsidRPr="006B2BC5" w:rsidRDefault="006B2BC5" w:rsidP="005249DC">
      <w:pPr>
        <w:spacing w:after="0" w:line="240" w:lineRule="auto"/>
        <w:ind w:left="742"/>
        <w:contextualSpacing/>
        <w:jc w:val="both"/>
        <w:rPr>
          <w:rFonts w:ascii="Cambria" w:eastAsia="SimSun" w:hAnsi="Cambria" w:cs="Times New Roman"/>
          <w:lang w:eastAsia="zh-CN"/>
        </w:rPr>
      </w:pPr>
    </w:p>
    <w:p w:rsidR="007D13B6" w:rsidRPr="005249DC" w:rsidRDefault="007D13B6" w:rsidP="005249DC">
      <w:pPr>
        <w:suppressAutoHyphens/>
        <w:spacing w:after="0" w:line="240" w:lineRule="auto"/>
        <w:ind w:left="742"/>
        <w:contextualSpacing/>
        <w:jc w:val="both"/>
        <w:rPr>
          <w:rFonts w:ascii="Cambria" w:eastAsia="SimSun" w:hAnsi="Cambria" w:cs="Times New Roman"/>
          <w:lang w:eastAsia="zh-CN"/>
        </w:rPr>
      </w:pPr>
    </w:p>
    <w:p w:rsidR="007D13B6" w:rsidRPr="007D13B6" w:rsidRDefault="007D13B6" w:rsidP="005249DC">
      <w:pPr>
        <w:suppressAutoHyphens/>
        <w:spacing w:after="0" w:line="240" w:lineRule="auto"/>
        <w:contextualSpacing/>
        <w:jc w:val="both"/>
        <w:rPr>
          <w:rFonts w:ascii="Trebuchet MS" w:eastAsia="SimSun" w:hAnsi="Trebuchet MS" w:cs="Times New Roman"/>
          <w:lang w:eastAsia="zh-CN"/>
        </w:rPr>
      </w:pPr>
    </w:p>
    <w:p w:rsidR="00EA3BE2" w:rsidRDefault="00D23F84" w:rsidP="002C226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9410F6">
        <w:rPr>
          <w:rFonts w:ascii="Cambria" w:eastAsia="Calibri" w:hAnsi="Cambria" w:cs="Times New Roman"/>
          <w:b/>
          <w:color w:val="365F91" w:themeColor="accent1" w:themeShade="BF"/>
          <w:sz w:val="28"/>
          <w:szCs w:val="28"/>
          <w:lang w:eastAsia="tr-TR"/>
        </w:rPr>
        <w:t>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54941">
        <w:rPr>
          <w:rFonts w:ascii="Cambria" w:eastAsia="Calibri" w:hAnsi="Cambria" w:cs="Times New Roman"/>
          <w:b/>
          <w:color w:val="365F91" w:themeColor="accent1" w:themeShade="BF"/>
          <w:sz w:val="28"/>
          <w:szCs w:val="28"/>
          <w:lang w:eastAsia="tr-TR"/>
        </w:rPr>
        <w:t>2</w:t>
      </w:r>
      <w:r w:rsidR="005249DC">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9939ED" w:rsidRPr="009939ED" w:rsidRDefault="009939ED" w:rsidP="00EA3BE2">
      <w:pPr>
        <w:spacing w:after="0" w:line="300" w:lineRule="exact"/>
        <w:rPr>
          <w:rFonts w:ascii="Trebuchet MS" w:hAnsi="Trebuchet MS"/>
          <w:b/>
          <w:sz w:val="20"/>
          <w:szCs w:val="20"/>
        </w:rPr>
      </w:pPr>
    </w:p>
    <w:p w:rsidR="007B1AAA" w:rsidRDefault="00F50C5B" w:rsidP="00EA3BE2">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F638C7" w:rsidRPr="00F37220" w:rsidRDefault="00F638C7" w:rsidP="00EA3BE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5F70C3" w:rsidRPr="00FA089E" w:rsidTr="005F70C3">
        <w:trPr>
          <w:trHeight w:val="567"/>
        </w:trPr>
        <w:tc>
          <w:tcPr>
            <w:tcW w:w="4111"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Kriterler</w:t>
            </w:r>
          </w:p>
        </w:tc>
        <w:tc>
          <w:tcPr>
            <w:tcW w:w="1985"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Sayısal Hedef</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Disiplinlerarası çalıştay</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Doktora mezunu</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Uluslararası endeksli dergilerde makale</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10</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Bildiri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Üniversite dışı araştırma desteği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500.000 TL</w:t>
            </w:r>
          </w:p>
        </w:tc>
      </w:tr>
    </w:tbl>
    <w:p w:rsidR="00C84F26" w:rsidRDefault="00C84F26" w:rsidP="00EA3BE2">
      <w:pPr>
        <w:tabs>
          <w:tab w:val="left" w:pos="2835"/>
        </w:tabs>
        <w:spacing w:after="0" w:line="300" w:lineRule="exact"/>
        <w:contextualSpacing/>
        <w:rPr>
          <w:rFonts w:asciiTheme="majorHAnsi" w:hAnsiTheme="majorHAnsi"/>
          <w:lang w:eastAsia="ko-KR"/>
        </w:rPr>
      </w:pPr>
    </w:p>
    <w:p w:rsidR="007D13B6" w:rsidRPr="00D77092" w:rsidRDefault="007D13B6" w:rsidP="00EA3BE2">
      <w:pPr>
        <w:tabs>
          <w:tab w:val="left" w:pos="2835"/>
        </w:tabs>
        <w:spacing w:after="0" w:line="300" w:lineRule="exact"/>
        <w:contextualSpacing/>
        <w:rPr>
          <w:rFonts w:asciiTheme="majorHAnsi" w:hAnsiTheme="majorHAnsi"/>
          <w:lang w:eastAsia="ko-KR"/>
        </w:rPr>
      </w:pPr>
    </w:p>
    <w:p w:rsidR="002E758C" w:rsidRDefault="009410F6" w:rsidP="005249DC">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F54941">
        <w:rPr>
          <w:rFonts w:ascii="Cambria" w:eastAsia="Calibri" w:hAnsi="Cambria" w:cs="Times New Roman"/>
          <w:b/>
          <w:color w:val="365F91" w:themeColor="accent1" w:themeShade="BF"/>
          <w:sz w:val="28"/>
          <w:szCs w:val="28"/>
          <w:lang w:eastAsia="tr-TR"/>
        </w:rPr>
        <w:t>-</w:t>
      </w:r>
      <w:r w:rsidR="00F54941" w:rsidRPr="00F54941">
        <w:rPr>
          <w:rFonts w:ascii="Cambria" w:eastAsia="Calibri" w:hAnsi="Cambria" w:cs="Times New Roman"/>
          <w:b/>
          <w:color w:val="365F91" w:themeColor="accent1" w:themeShade="BF"/>
          <w:sz w:val="28"/>
          <w:szCs w:val="28"/>
          <w:lang w:eastAsia="tr-TR"/>
        </w:rPr>
        <w:t>ÖZDEĞERLENDİRME</w:t>
      </w:r>
    </w:p>
    <w:p w:rsidR="005249DC" w:rsidRPr="005249DC" w:rsidRDefault="005249DC" w:rsidP="005249DC">
      <w:pPr>
        <w:spacing w:after="0" w:line="300" w:lineRule="exact"/>
        <w:jc w:val="both"/>
        <w:rPr>
          <w:rFonts w:ascii="Cambria" w:eastAsia="Calibri" w:hAnsi="Cambria" w:cs="Times New Roman"/>
          <w:b/>
          <w:color w:val="365F91" w:themeColor="accent1" w:themeShade="BF"/>
          <w:sz w:val="28"/>
          <w:szCs w:val="28"/>
          <w:lang w:eastAsia="tr-TR"/>
        </w:rPr>
      </w:pPr>
    </w:p>
    <w:p w:rsidR="005249DC" w:rsidRPr="005249DC" w:rsidRDefault="005249DC" w:rsidP="003A3AD3">
      <w:pPr>
        <w:suppressAutoHyphens/>
        <w:spacing w:before="60" w:after="0" w:line="240" w:lineRule="auto"/>
        <w:ind w:firstLine="708"/>
        <w:contextualSpacing/>
        <w:jc w:val="both"/>
        <w:rPr>
          <w:rFonts w:ascii="Cambria" w:eastAsia="SimSun" w:hAnsi="Cambria" w:cs="Times New Roman"/>
          <w:lang w:eastAsia="zh-CN"/>
        </w:rPr>
      </w:pPr>
      <w:r w:rsidRPr="005249DC">
        <w:rPr>
          <w:rFonts w:ascii="Cambria" w:eastAsia="SimSun" w:hAnsi="Cambria" w:cs="Times New Roman"/>
          <w:lang w:eastAsia="zh-CN"/>
        </w:rPr>
        <w:t>EPAM, Enerji Politikaları Araştırma ve Uygulama Merkezinin kuruluşu 18 Aralık 2014 tarih ve 29209 Sayılı Resmi Gazete’de yayınlanan Yönetmelik ile birlikte resmileşmiştir. EPAM’ın amacı Türkiye’de Enerji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bookmarkStart w:id="0" w:name="_GoBack"/>
      <w:bookmarkEnd w:id="0"/>
    </w:p>
    <w:p w:rsidR="005249DC" w:rsidRPr="005249DC" w:rsidRDefault="005249DC" w:rsidP="005249DC">
      <w:pPr>
        <w:suppressAutoHyphens/>
        <w:spacing w:before="60" w:after="0" w:line="240" w:lineRule="auto"/>
        <w:contextualSpacing/>
        <w:jc w:val="both"/>
        <w:rPr>
          <w:rFonts w:ascii="Cambria" w:eastAsia="SimSun" w:hAnsi="Cambria" w:cs="Times New Roman"/>
          <w:lang w:eastAsia="zh-CN"/>
        </w:rPr>
      </w:pPr>
      <w:r w:rsidRPr="005249DC">
        <w:rPr>
          <w:rFonts w:ascii="Cambria" w:eastAsia="SimSun" w:hAnsi="Cambria" w:cs="Times New Roman"/>
          <w:lang w:eastAsia="zh-CN"/>
        </w:rPr>
        <w:lastRenderedPageBreak/>
        <w:t>EPAM 2024 senesinde Boğaziçinde yapılacak olan IAEE 2024 konferansı düzenlemıştır. Bu konuda hem Üniversitemizin hemde IAEE 2024 bünyesinde hizmet vermiştir. Aynı zamanda 6550 Finans Merkezi kurulumu hazırlıklarında önemli bir yer almıştır. 6550 Finans Merkezi 2025 senesinde onaylanma yönünde son bir değerlendirmeye girmiştir. 2025 yılında iklim değişikliği ve enerji etkileşimi konularında hem kitap hem de döner sermaye kapsamında çalışmalar yürütütecektir. 2025 senesinde Iklim değişikliği ve Altyapı konusunda kitap çaşılmasını tamamlayacaktır.</w:t>
      </w:r>
    </w:p>
    <w:p w:rsidR="005249DC" w:rsidRPr="005249DC" w:rsidRDefault="005249DC" w:rsidP="005249DC">
      <w:pPr>
        <w:suppressAutoHyphens/>
        <w:spacing w:before="60" w:after="0" w:line="240" w:lineRule="auto"/>
        <w:contextualSpacing/>
        <w:jc w:val="both"/>
        <w:rPr>
          <w:rFonts w:ascii="Cambria" w:eastAsia="SimSun" w:hAnsi="Cambria" w:cs="Times New Roman"/>
          <w:lang w:eastAsia="zh-CN"/>
        </w:rPr>
      </w:pPr>
    </w:p>
    <w:p w:rsidR="005249DC" w:rsidRPr="005249DC" w:rsidRDefault="005249DC" w:rsidP="005249DC">
      <w:pPr>
        <w:suppressAutoHyphens/>
        <w:spacing w:before="60" w:after="0" w:line="240" w:lineRule="auto"/>
        <w:ind w:firstLine="708"/>
        <w:jc w:val="both"/>
        <w:rPr>
          <w:rFonts w:ascii="Cambria" w:eastAsia="SimSun" w:hAnsi="Cambria" w:cs="Times New Roman"/>
          <w:lang w:eastAsia="zh-CN"/>
        </w:rPr>
      </w:pPr>
      <w:r w:rsidRPr="005249DC">
        <w:rPr>
          <w:rFonts w:ascii="Cambria" w:eastAsia="SimSun" w:hAnsi="Cambria" w:cs="Times New Roman"/>
          <w:lang w:eastAsia="zh-CN"/>
        </w:rPr>
        <w:t xml:space="preserve">50007 PROJE </w:t>
      </w:r>
      <w:proofErr w:type="gramStart"/>
      <w:r w:rsidRPr="005249DC">
        <w:rPr>
          <w:rFonts w:ascii="Cambria" w:eastAsia="SimSun" w:hAnsi="Cambria" w:cs="Times New Roman"/>
          <w:lang w:eastAsia="zh-CN"/>
        </w:rPr>
        <w:t>TİPİ : YÖK</w:t>
      </w:r>
      <w:proofErr w:type="gramEnd"/>
      <w:r w:rsidRPr="005249DC">
        <w:rPr>
          <w:rFonts w:ascii="Cambria" w:eastAsia="SimSun" w:hAnsi="Cambria" w:cs="Times New Roman"/>
          <w:lang w:eastAsia="zh-CN"/>
        </w:rPr>
        <w:t>-ARAŞTIRMA ÜNİVERSİTELERİ DESTEK PROGRAMI Proje Adı : Rüzgâr Ve Hidrojen Hibrit Kaynak Kullanımı İle Kararlı Yenilenebilir Enerji Üretim Optimizasyonu projesı kurulmuştur ve veri toplanmaktadır.</w:t>
      </w:r>
    </w:p>
    <w:p w:rsidR="005249DC" w:rsidRPr="005249DC" w:rsidRDefault="005249DC" w:rsidP="005249DC">
      <w:pPr>
        <w:suppressAutoHyphens/>
        <w:spacing w:after="0" w:line="360" w:lineRule="auto"/>
        <w:jc w:val="both"/>
        <w:rPr>
          <w:rFonts w:ascii="Cambria" w:eastAsia="SimSun" w:hAnsi="Cambria" w:cs="Times New Roman"/>
          <w:lang w:eastAsia="zh-CN"/>
        </w:rPr>
      </w:pPr>
      <w:r w:rsidRPr="005249DC">
        <w:rPr>
          <w:rFonts w:ascii="Cambria" w:eastAsia="SimSun" w:hAnsi="Cambria" w:cs="Times New Roman"/>
          <w:lang w:eastAsia="zh-CN"/>
        </w:rPr>
        <w:t xml:space="preserve"> </w:t>
      </w:r>
    </w:p>
    <w:p w:rsidR="007663AB" w:rsidRPr="005249DC" w:rsidRDefault="007663AB" w:rsidP="005249DC">
      <w:pPr>
        <w:suppressAutoHyphens/>
        <w:spacing w:before="60" w:after="0" w:line="240" w:lineRule="auto"/>
        <w:contextualSpacing/>
        <w:jc w:val="both"/>
        <w:rPr>
          <w:rFonts w:ascii="Cambria" w:hAnsi="Cambria"/>
          <w:lang w:eastAsia="ko-KR"/>
        </w:rPr>
      </w:pPr>
    </w:p>
    <w:sectPr w:rsidR="007663AB" w:rsidRPr="005249DC"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6CD" w:rsidRDefault="007926CD" w:rsidP="00D9381D">
      <w:pPr>
        <w:spacing w:after="0" w:line="240" w:lineRule="auto"/>
      </w:pPr>
      <w:r>
        <w:separator/>
      </w:r>
    </w:p>
  </w:endnote>
  <w:endnote w:type="continuationSeparator" w:id="0">
    <w:p w:rsidR="007926CD" w:rsidRDefault="007926C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DejaVu Sans">
    <w:altName w:val="Verdana"/>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6CD" w:rsidRDefault="007926CD" w:rsidP="00D9381D">
      <w:pPr>
        <w:spacing w:after="0" w:line="240" w:lineRule="auto"/>
      </w:pPr>
      <w:r>
        <w:separator/>
      </w:r>
    </w:p>
  </w:footnote>
  <w:footnote w:type="continuationSeparator" w:id="0">
    <w:p w:rsidR="007926CD" w:rsidRDefault="007926CD"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E562A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562AB" w:rsidRDefault="00E562A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E562AB" w:rsidRDefault="00E562AB" w:rsidP="00CE7C8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611848">
                <w:rPr>
                  <w:b/>
                  <w:color w:val="808080" w:themeColor="background1" w:themeShade="80"/>
                  <w:sz w:val="24"/>
                  <w:szCs w:val="24"/>
                </w:rPr>
                <w:t>24</w:t>
              </w:r>
            </w:p>
          </w:tc>
        </w:sdtContent>
      </w:sdt>
    </w:tr>
  </w:tbl>
  <w:p w:rsidR="00E562AB" w:rsidRDefault="00E562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BD15132_"/>
      </v:shape>
    </w:pict>
  </w:numPicBullet>
  <w:abstractNum w:abstractNumId="0" w15:restartNumberingAfterBreak="0">
    <w:nsid w:val="00486C3C"/>
    <w:multiLevelType w:val="hybridMultilevel"/>
    <w:tmpl w:val="0CAC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956E5"/>
    <w:multiLevelType w:val="hybridMultilevel"/>
    <w:tmpl w:val="CAFA543C"/>
    <w:lvl w:ilvl="0" w:tplc="D8CC9D98">
      <w:start w:val="6"/>
      <w:numFmt w:val="upperRoman"/>
      <w:lvlText w:val="%1."/>
      <w:lvlJc w:val="left"/>
      <w:pPr>
        <w:ind w:left="90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540BE"/>
    <w:multiLevelType w:val="hybridMultilevel"/>
    <w:tmpl w:val="F53A6DFA"/>
    <w:lvl w:ilvl="0" w:tplc="0409000F">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5562E7"/>
    <w:multiLevelType w:val="hybridMultilevel"/>
    <w:tmpl w:val="1B0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3F3319"/>
    <w:multiLevelType w:val="hybridMultilevel"/>
    <w:tmpl w:val="19AC27BA"/>
    <w:lvl w:ilvl="0" w:tplc="30F8FDB2">
      <w:start w:val="1"/>
      <w:numFmt w:val="lowerLetter"/>
      <w:lvlText w:val="%1)"/>
      <w:lvlJc w:val="left"/>
      <w:pPr>
        <w:ind w:left="720" w:hanging="360"/>
      </w:pPr>
      <w:rPr>
        <w:rFonts w:eastAsia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51E461B"/>
    <w:multiLevelType w:val="hybridMultilevel"/>
    <w:tmpl w:val="898AD9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9"/>
  </w:num>
  <w:num w:numId="4">
    <w:abstractNumId w:val="4"/>
  </w:num>
  <w:num w:numId="5">
    <w:abstractNumId w:val="25"/>
  </w:num>
  <w:num w:numId="6">
    <w:abstractNumId w:val="19"/>
  </w:num>
  <w:num w:numId="7">
    <w:abstractNumId w:val="16"/>
  </w:num>
  <w:num w:numId="8">
    <w:abstractNumId w:val="10"/>
  </w:num>
  <w:num w:numId="9">
    <w:abstractNumId w:val="23"/>
  </w:num>
  <w:num w:numId="10">
    <w:abstractNumId w:val="1"/>
  </w:num>
  <w:num w:numId="11">
    <w:abstractNumId w:val="20"/>
  </w:num>
  <w:num w:numId="12">
    <w:abstractNumId w:val="17"/>
  </w:num>
  <w:num w:numId="13">
    <w:abstractNumId w:val="15"/>
  </w:num>
  <w:num w:numId="14">
    <w:abstractNumId w:val="18"/>
  </w:num>
  <w:num w:numId="15">
    <w:abstractNumId w:val="12"/>
  </w:num>
  <w:num w:numId="16">
    <w:abstractNumId w:val="8"/>
  </w:num>
  <w:num w:numId="17">
    <w:abstractNumId w:val="11"/>
  </w:num>
  <w:num w:numId="18">
    <w:abstractNumId w:val="5"/>
  </w:num>
  <w:num w:numId="19">
    <w:abstractNumId w:val="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0"/>
  </w:num>
  <w:num w:numId="23">
    <w:abstractNumId w:val="3"/>
  </w:num>
  <w:num w:numId="24">
    <w:abstractNumId w:val="7"/>
  </w:num>
  <w:num w:numId="25">
    <w:abstractNumId w:val="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1410"/>
    <w:rsid w:val="00001EE6"/>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56FE"/>
    <w:rsid w:val="0002641F"/>
    <w:rsid w:val="0002747D"/>
    <w:rsid w:val="00027BEB"/>
    <w:rsid w:val="00027C2F"/>
    <w:rsid w:val="00030830"/>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4C32"/>
    <w:rsid w:val="000A6E7F"/>
    <w:rsid w:val="000A79A0"/>
    <w:rsid w:val="000B005A"/>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26B"/>
    <w:rsid w:val="00103979"/>
    <w:rsid w:val="00103A39"/>
    <w:rsid w:val="00106F2C"/>
    <w:rsid w:val="00114E93"/>
    <w:rsid w:val="00121071"/>
    <w:rsid w:val="001221D1"/>
    <w:rsid w:val="00122FFC"/>
    <w:rsid w:val="00124E27"/>
    <w:rsid w:val="00125B29"/>
    <w:rsid w:val="001262F6"/>
    <w:rsid w:val="00126DB4"/>
    <w:rsid w:val="0013058D"/>
    <w:rsid w:val="00133E65"/>
    <w:rsid w:val="00140178"/>
    <w:rsid w:val="00143EA3"/>
    <w:rsid w:val="00145601"/>
    <w:rsid w:val="001519AE"/>
    <w:rsid w:val="001548FD"/>
    <w:rsid w:val="00154952"/>
    <w:rsid w:val="00154DD8"/>
    <w:rsid w:val="00155685"/>
    <w:rsid w:val="001573D9"/>
    <w:rsid w:val="0016014C"/>
    <w:rsid w:val="0016057D"/>
    <w:rsid w:val="001635A5"/>
    <w:rsid w:val="001659C1"/>
    <w:rsid w:val="00167E33"/>
    <w:rsid w:val="00170172"/>
    <w:rsid w:val="00171240"/>
    <w:rsid w:val="00171500"/>
    <w:rsid w:val="00172F13"/>
    <w:rsid w:val="00173C63"/>
    <w:rsid w:val="00174DDB"/>
    <w:rsid w:val="001770EC"/>
    <w:rsid w:val="0017782C"/>
    <w:rsid w:val="00180020"/>
    <w:rsid w:val="001803BA"/>
    <w:rsid w:val="001811D2"/>
    <w:rsid w:val="00182F67"/>
    <w:rsid w:val="00185230"/>
    <w:rsid w:val="00185F00"/>
    <w:rsid w:val="0019168B"/>
    <w:rsid w:val="00191B0B"/>
    <w:rsid w:val="00192530"/>
    <w:rsid w:val="0019349B"/>
    <w:rsid w:val="00197309"/>
    <w:rsid w:val="001A0DA7"/>
    <w:rsid w:val="001A58CA"/>
    <w:rsid w:val="001A769F"/>
    <w:rsid w:val="001B0FD7"/>
    <w:rsid w:val="001B3A74"/>
    <w:rsid w:val="001B56DB"/>
    <w:rsid w:val="001B64B8"/>
    <w:rsid w:val="001B7F8B"/>
    <w:rsid w:val="001C13BE"/>
    <w:rsid w:val="001C3176"/>
    <w:rsid w:val="001C32B6"/>
    <w:rsid w:val="001C48E0"/>
    <w:rsid w:val="001C57B5"/>
    <w:rsid w:val="001C6E22"/>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99F"/>
    <w:rsid w:val="00287D31"/>
    <w:rsid w:val="0029239A"/>
    <w:rsid w:val="0029310B"/>
    <w:rsid w:val="002940B2"/>
    <w:rsid w:val="002A02BD"/>
    <w:rsid w:val="002A0F81"/>
    <w:rsid w:val="002A19BE"/>
    <w:rsid w:val="002A6AD6"/>
    <w:rsid w:val="002B0077"/>
    <w:rsid w:val="002B17EF"/>
    <w:rsid w:val="002B30B7"/>
    <w:rsid w:val="002B5AA5"/>
    <w:rsid w:val="002B7276"/>
    <w:rsid w:val="002B7413"/>
    <w:rsid w:val="002C0C4F"/>
    <w:rsid w:val="002C226B"/>
    <w:rsid w:val="002C3DB7"/>
    <w:rsid w:val="002C3E05"/>
    <w:rsid w:val="002C51C0"/>
    <w:rsid w:val="002C6AB0"/>
    <w:rsid w:val="002C7307"/>
    <w:rsid w:val="002C791C"/>
    <w:rsid w:val="002D3212"/>
    <w:rsid w:val="002D5CCD"/>
    <w:rsid w:val="002D6349"/>
    <w:rsid w:val="002E006E"/>
    <w:rsid w:val="002E1994"/>
    <w:rsid w:val="002E41DC"/>
    <w:rsid w:val="002E43DA"/>
    <w:rsid w:val="002E758C"/>
    <w:rsid w:val="002F02E1"/>
    <w:rsid w:val="002F2D96"/>
    <w:rsid w:val="002F32EF"/>
    <w:rsid w:val="002F4AE7"/>
    <w:rsid w:val="002F5625"/>
    <w:rsid w:val="002F77DE"/>
    <w:rsid w:val="003025F9"/>
    <w:rsid w:val="003038EA"/>
    <w:rsid w:val="00303CC9"/>
    <w:rsid w:val="003049CC"/>
    <w:rsid w:val="00304B14"/>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3A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6690"/>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5BBE"/>
    <w:rsid w:val="00490AF5"/>
    <w:rsid w:val="00496543"/>
    <w:rsid w:val="004A1BC4"/>
    <w:rsid w:val="004A5711"/>
    <w:rsid w:val="004A7650"/>
    <w:rsid w:val="004B011A"/>
    <w:rsid w:val="004B1722"/>
    <w:rsid w:val="004B28D1"/>
    <w:rsid w:val="004B4BFD"/>
    <w:rsid w:val="004B783A"/>
    <w:rsid w:val="004C21B1"/>
    <w:rsid w:val="004D0C9D"/>
    <w:rsid w:val="004D311C"/>
    <w:rsid w:val="004D536E"/>
    <w:rsid w:val="004D559F"/>
    <w:rsid w:val="004D7CC9"/>
    <w:rsid w:val="004E22D3"/>
    <w:rsid w:val="004E4D19"/>
    <w:rsid w:val="004E51AA"/>
    <w:rsid w:val="004E6375"/>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49DC"/>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44CC"/>
    <w:rsid w:val="00580285"/>
    <w:rsid w:val="00581A31"/>
    <w:rsid w:val="005847F1"/>
    <w:rsid w:val="00585DD7"/>
    <w:rsid w:val="005878EE"/>
    <w:rsid w:val="00587D31"/>
    <w:rsid w:val="00590A9E"/>
    <w:rsid w:val="00592236"/>
    <w:rsid w:val="005952A7"/>
    <w:rsid w:val="005A1A29"/>
    <w:rsid w:val="005A2F3A"/>
    <w:rsid w:val="005A5A10"/>
    <w:rsid w:val="005A7DAF"/>
    <w:rsid w:val="005B3708"/>
    <w:rsid w:val="005B5091"/>
    <w:rsid w:val="005B55C1"/>
    <w:rsid w:val="005B5A92"/>
    <w:rsid w:val="005B6477"/>
    <w:rsid w:val="005B6F1E"/>
    <w:rsid w:val="005C0DC1"/>
    <w:rsid w:val="005C0F64"/>
    <w:rsid w:val="005C2C11"/>
    <w:rsid w:val="005C34B2"/>
    <w:rsid w:val="005C6064"/>
    <w:rsid w:val="005D3BD8"/>
    <w:rsid w:val="005D46FD"/>
    <w:rsid w:val="005D5625"/>
    <w:rsid w:val="005D63EE"/>
    <w:rsid w:val="005D7C1F"/>
    <w:rsid w:val="005E3EAD"/>
    <w:rsid w:val="005E6A2E"/>
    <w:rsid w:val="005E7F9C"/>
    <w:rsid w:val="005F6699"/>
    <w:rsid w:val="005F70C3"/>
    <w:rsid w:val="006021BF"/>
    <w:rsid w:val="00604006"/>
    <w:rsid w:val="006065B6"/>
    <w:rsid w:val="0061099A"/>
    <w:rsid w:val="00611848"/>
    <w:rsid w:val="00611DE3"/>
    <w:rsid w:val="006142D7"/>
    <w:rsid w:val="0061666F"/>
    <w:rsid w:val="006210D4"/>
    <w:rsid w:val="00621D23"/>
    <w:rsid w:val="006226C6"/>
    <w:rsid w:val="00625E58"/>
    <w:rsid w:val="00626955"/>
    <w:rsid w:val="00626FBE"/>
    <w:rsid w:val="00627FC1"/>
    <w:rsid w:val="00633FF6"/>
    <w:rsid w:val="006375F6"/>
    <w:rsid w:val="00642CF8"/>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46A0"/>
    <w:rsid w:val="006958ED"/>
    <w:rsid w:val="00696ABA"/>
    <w:rsid w:val="00696F88"/>
    <w:rsid w:val="00697D19"/>
    <w:rsid w:val="006A08EB"/>
    <w:rsid w:val="006A0990"/>
    <w:rsid w:val="006A0BD8"/>
    <w:rsid w:val="006A1D7D"/>
    <w:rsid w:val="006A5899"/>
    <w:rsid w:val="006A5C66"/>
    <w:rsid w:val="006A7BBC"/>
    <w:rsid w:val="006B02E3"/>
    <w:rsid w:val="006B1AFE"/>
    <w:rsid w:val="006B2BC5"/>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381B"/>
    <w:rsid w:val="006F4E5D"/>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5F7C"/>
    <w:rsid w:val="00750809"/>
    <w:rsid w:val="0075140B"/>
    <w:rsid w:val="00753431"/>
    <w:rsid w:val="007552EF"/>
    <w:rsid w:val="0075656F"/>
    <w:rsid w:val="0076005F"/>
    <w:rsid w:val="00762119"/>
    <w:rsid w:val="007623CA"/>
    <w:rsid w:val="007627B1"/>
    <w:rsid w:val="00763E8A"/>
    <w:rsid w:val="007646E5"/>
    <w:rsid w:val="007663AB"/>
    <w:rsid w:val="00774E8C"/>
    <w:rsid w:val="007759A2"/>
    <w:rsid w:val="00781E1E"/>
    <w:rsid w:val="0078224D"/>
    <w:rsid w:val="00782DFD"/>
    <w:rsid w:val="0078301E"/>
    <w:rsid w:val="00784D2D"/>
    <w:rsid w:val="007868CE"/>
    <w:rsid w:val="00787477"/>
    <w:rsid w:val="0079052F"/>
    <w:rsid w:val="00791BDF"/>
    <w:rsid w:val="007926CD"/>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3B6"/>
    <w:rsid w:val="007D1A22"/>
    <w:rsid w:val="007D1D35"/>
    <w:rsid w:val="007D2359"/>
    <w:rsid w:val="007D3647"/>
    <w:rsid w:val="007D4388"/>
    <w:rsid w:val="007D5A2F"/>
    <w:rsid w:val="007D63CA"/>
    <w:rsid w:val="007D6DE5"/>
    <w:rsid w:val="007E27DE"/>
    <w:rsid w:val="007E3439"/>
    <w:rsid w:val="007E6736"/>
    <w:rsid w:val="007F0207"/>
    <w:rsid w:val="007F09D1"/>
    <w:rsid w:val="007F0DFF"/>
    <w:rsid w:val="007F13CB"/>
    <w:rsid w:val="00801913"/>
    <w:rsid w:val="00802ECA"/>
    <w:rsid w:val="008046BB"/>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C5211"/>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0F6"/>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4C34"/>
    <w:rsid w:val="00967522"/>
    <w:rsid w:val="009709CE"/>
    <w:rsid w:val="00972020"/>
    <w:rsid w:val="009760B7"/>
    <w:rsid w:val="00976F03"/>
    <w:rsid w:val="00977EEF"/>
    <w:rsid w:val="00984730"/>
    <w:rsid w:val="009901F6"/>
    <w:rsid w:val="0099106C"/>
    <w:rsid w:val="009939ED"/>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F00"/>
    <w:rsid w:val="009E4506"/>
    <w:rsid w:val="009E6CD2"/>
    <w:rsid w:val="009E70F8"/>
    <w:rsid w:val="009F0404"/>
    <w:rsid w:val="009F0753"/>
    <w:rsid w:val="009F2B61"/>
    <w:rsid w:val="009F2E20"/>
    <w:rsid w:val="009F4023"/>
    <w:rsid w:val="009F49A3"/>
    <w:rsid w:val="009F594D"/>
    <w:rsid w:val="009F71F6"/>
    <w:rsid w:val="009F7D42"/>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378"/>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3FC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E57EB"/>
    <w:rsid w:val="00BF08B9"/>
    <w:rsid w:val="00BF2BC4"/>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4F26"/>
    <w:rsid w:val="00C86327"/>
    <w:rsid w:val="00C868D4"/>
    <w:rsid w:val="00C917D1"/>
    <w:rsid w:val="00C9299F"/>
    <w:rsid w:val="00C936A2"/>
    <w:rsid w:val="00C93CA2"/>
    <w:rsid w:val="00C95CC8"/>
    <w:rsid w:val="00CA3355"/>
    <w:rsid w:val="00CA3D6D"/>
    <w:rsid w:val="00CA3EDF"/>
    <w:rsid w:val="00CA4C2D"/>
    <w:rsid w:val="00CA548D"/>
    <w:rsid w:val="00CA73A6"/>
    <w:rsid w:val="00CB122E"/>
    <w:rsid w:val="00CB2CDD"/>
    <w:rsid w:val="00CB33A4"/>
    <w:rsid w:val="00CB4F93"/>
    <w:rsid w:val="00CB572A"/>
    <w:rsid w:val="00CC044E"/>
    <w:rsid w:val="00CC15D3"/>
    <w:rsid w:val="00CC53C8"/>
    <w:rsid w:val="00CD64A4"/>
    <w:rsid w:val="00CE229A"/>
    <w:rsid w:val="00CE3F1D"/>
    <w:rsid w:val="00CE3F6F"/>
    <w:rsid w:val="00CE6890"/>
    <w:rsid w:val="00CE68EE"/>
    <w:rsid w:val="00CE7C85"/>
    <w:rsid w:val="00CF35BF"/>
    <w:rsid w:val="00CF6691"/>
    <w:rsid w:val="00CF77C3"/>
    <w:rsid w:val="00D01076"/>
    <w:rsid w:val="00D03645"/>
    <w:rsid w:val="00D0465C"/>
    <w:rsid w:val="00D06D89"/>
    <w:rsid w:val="00D07D99"/>
    <w:rsid w:val="00D16997"/>
    <w:rsid w:val="00D16D4D"/>
    <w:rsid w:val="00D215B5"/>
    <w:rsid w:val="00D223C5"/>
    <w:rsid w:val="00D23791"/>
    <w:rsid w:val="00D23F84"/>
    <w:rsid w:val="00D26869"/>
    <w:rsid w:val="00D27D52"/>
    <w:rsid w:val="00D3072E"/>
    <w:rsid w:val="00D31BDB"/>
    <w:rsid w:val="00D324AB"/>
    <w:rsid w:val="00D32ECF"/>
    <w:rsid w:val="00D34F03"/>
    <w:rsid w:val="00D42114"/>
    <w:rsid w:val="00D452D3"/>
    <w:rsid w:val="00D50B7A"/>
    <w:rsid w:val="00D53C35"/>
    <w:rsid w:val="00D55C7B"/>
    <w:rsid w:val="00D560F3"/>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77092"/>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2B1"/>
    <w:rsid w:val="00E05D36"/>
    <w:rsid w:val="00E1190F"/>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62AB"/>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3BE2"/>
    <w:rsid w:val="00EA7416"/>
    <w:rsid w:val="00EB42EA"/>
    <w:rsid w:val="00EB456B"/>
    <w:rsid w:val="00EB571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171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4941"/>
    <w:rsid w:val="00F55077"/>
    <w:rsid w:val="00F5797C"/>
    <w:rsid w:val="00F613D9"/>
    <w:rsid w:val="00F63440"/>
    <w:rsid w:val="00F638C7"/>
    <w:rsid w:val="00F647E4"/>
    <w:rsid w:val="00F652E7"/>
    <w:rsid w:val="00F673E9"/>
    <w:rsid w:val="00F72D6D"/>
    <w:rsid w:val="00F75731"/>
    <w:rsid w:val="00F80BE1"/>
    <w:rsid w:val="00F8284B"/>
    <w:rsid w:val="00F82D4F"/>
    <w:rsid w:val="00F84B25"/>
    <w:rsid w:val="00F855B2"/>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480B7"/>
  <w15:docId w15:val="{85304B0C-694B-46F6-8487-B7C1232A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7D1A2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 lastClr="FFFFFF"/>
              </a:solidFill>
              <a:latin typeface="+mj-lt"/>
              <a:ea typeface="+mn-ea"/>
              <a:cs typeface="+mn-cs"/>
            </a:rPr>
            <a:t>Merkez Müdürü</a:t>
          </a:r>
        </a:p>
        <a:p>
          <a:r>
            <a:rPr lang="tr-TR" sz="1100">
              <a:solidFill>
                <a:sysClr val="window" lastClr="FFFFFF"/>
              </a:solidFill>
              <a:latin typeface="+mj-lt"/>
              <a:ea typeface="+mn-ea"/>
              <a:cs typeface="+mn-cs"/>
            </a:rPr>
            <a:t>Prof. Dr. Cem Avcı</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Yönetim Kurulu</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r>
            <a:rPr lang="tr-TR" sz="1100">
              <a:solidFill>
                <a:sysClr val="window" lastClr="FFFFFF"/>
              </a:solidFill>
              <a:latin typeface="Calibri"/>
              <a:ea typeface="+mn-ea"/>
              <a:cs typeface="+mn-cs"/>
            </a:rPr>
            <a:t> </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custT="1"/>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Sekreter</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Erol Metin </a:t>
          </a:r>
          <a:endParaRPr lang="tr-TR" sz="1100">
            <a:solidFill>
              <a:sysClr val="window" lastClr="FFFFFF"/>
            </a:solidFill>
            <a:latin typeface="Calibri"/>
            <a:ea typeface="+mn-ea"/>
            <a:cs typeface="+mn-cs"/>
          </a:endParaRP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custT="1"/>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Kurul</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endParaRPr lang="tr-TR" sz="1100">
            <a:solidFill>
              <a:sysClr val="window" lastClr="FFFFFF"/>
            </a:solidFill>
            <a:latin typeface="Calibri"/>
            <a:ea typeface="+mn-ea"/>
            <a:cs typeface="+mn-cs"/>
          </a:endParaRP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custLinFactNeighborX="760" custLinFactNeighborY="-1920">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custLinFactNeighborX="4703" custLinFactNeighborY="-1450">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3"/>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tr-TR"/>
        </a:p>
      </dgm:t>
    </dgm:pt>
    <dgm:pt modelId="{38D1E8F4-1A59-48A4-8EC1-2D6D2BD347B7}" type="pres">
      <dgm:prSet presAssocID="{6EA427A4-6B63-4803-B967-791A2E439006}" presName="rootConnector" presStyleLbl="node2" presStyleIdx="1" presStyleCnt="3"/>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2" presStyleCnt="3"/>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AAAF0F02-13A1-48E5-8EB8-65BD67F59B1C}" type="presOf" srcId="{FA08720D-FA48-4444-9258-DC0A3970A3A0}" destId="{F401AE51-AEC1-4094-94C7-67FFAAD44F4A}" srcOrd="1" destOrd="0" presId="urn:microsoft.com/office/officeart/2005/8/layout/orgChart1"/>
    <dgm:cxn modelId="{774FE870-992F-4F26-B9D7-70E368700ACE}" type="presOf" srcId="{08808C1E-994D-4C3D-BAF8-F23B8D3B198C}" destId="{2A781E52-447D-444A-91F7-12DC1D31FDD0}" srcOrd="1" destOrd="0" presId="urn:microsoft.com/office/officeart/2005/8/layout/orgChart1"/>
    <dgm:cxn modelId="{CD7BF0D2-7E32-4F37-AA32-01965FEFECCB}" type="presOf" srcId="{07E898A3-EE6B-4DF7-A0BB-FAF885580BF5}" destId="{AC2A182D-1678-4360-A130-231DB1FE6B45}" srcOrd="0" destOrd="0" presId="urn:microsoft.com/office/officeart/2005/8/layout/orgChart1"/>
    <dgm:cxn modelId="{512B62CA-4A49-46AD-922E-6197CCD24E7A}" type="presOf" srcId="{FA08720D-FA48-4444-9258-DC0A3970A3A0}" destId="{3277ACD7-6C9D-49AB-AA58-BACD4C38B626}" srcOrd="0" destOrd="0" presId="urn:microsoft.com/office/officeart/2005/8/layout/orgChart1"/>
    <dgm:cxn modelId="{6CBAF4B8-C0F7-4445-8FF4-9B3007F3F39B}" type="presOf" srcId="{97F21794-3E62-4FC2-AC67-6E308B52F5EC}" destId="{909EA145-076D-4BC8-BD5B-F59683D2073A}" srcOrd="0" destOrd="0" presId="urn:microsoft.com/office/officeart/2005/8/layout/orgChart1"/>
    <dgm:cxn modelId="{435648AC-1429-46F2-82BF-D780DE2BCC18}" type="presOf" srcId="{97F21794-3E62-4FC2-AC67-6E308B52F5EC}" destId="{F1C04F69-8BA6-4278-AFC1-D2B092213D3B}" srcOrd="1"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E64B5E43-4BC2-479B-B5CE-CC6EE7022BE7}" type="presOf" srcId="{6EA427A4-6B63-4803-B967-791A2E439006}" destId="{38DA428A-01F7-489E-BBD8-B88EE686390B}" srcOrd="0" destOrd="0" presId="urn:microsoft.com/office/officeart/2005/8/layout/orgChart1"/>
    <dgm:cxn modelId="{86347B34-15C9-4D9D-BF90-BB16A3289EC7}" type="presOf" srcId="{0DDA4564-362E-4BCB-9D10-C9D4F3D0567A}" destId="{17DC65D5-B766-43E6-BEB3-AD7DC94B539B}" srcOrd="0" destOrd="0" presId="urn:microsoft.com/office/officeart/2005/8/layout/orgChart1"/>
    <dgm:cxn modelId="{1F0480FB-D42E-421A-ADDC-23CD97A27DA9}" type="presOf" srcId="{9DFA0370-94AD-4418-95D2-70BD50044448}" destId="{B235D67D-843E-4A10-B175-6B77087274F8}"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60761DFB-534B-4C77-93B3-527EECFBF912}" srcId="{97F21794-3E62-4FC2-AC67-6E308B52F5EC}" destId="{FA08720D-FA48-4444-9258-DC0A3970A3A0}" srcOrd="0" destOrd="0" parTransId="{07E898A3-EE6B-4DF7-A0BB-FAF885580BF5}" sibTransId="{05B23862-CD35-4058-A50C-F08BB0227D4F}"/>
    <dgm:cxn modelId="{5CC1320A-8ECB-40AC-9E0C-E3ABD534D77C}" type="presOf" srcId="{6EA427A4-6B63-4803-B967-791A2E439006}" destId="{38D1E8F4-1A59-48A4-8EC1-2D6D2BD347B7}"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254185D1-92D2-45C9-B478-38838EDEE1C0}" type="presOf" srcId="{8E8E3CAD-A8E8-4705-B08C-DEC68D816EDA}" destId="{C90B6682-CFB1-4EA7-AEB3-BC6CEBCFC965}" srcOrd="0" destOrd="0" presId="urn:microsoft.com/office/officeart/2005/8/layout/orgChart1"/>
    <dgm:cxn modelId="{4CD3D9EF-759E-4550-BB95-3C8FBD0E4976}" type="presOf" srcId="{08808C1E-994D-4C3D-BAF8-F23B8D3B198C}" destId="{49042760-A768-4013-9E4F-7F5ACA65BB62}" srcOrd="0" destOrd="0" presId="urn:microsoft.com/office/officeart/2005/8/layout/orgChart1"/>
    <dgm:cxn modelId="{64557BD6-DB13-4E67-ABD2-FDB261CCA278}" type="presParOf" srcId="{C90B6682-CFB1-4EA7-AEB3-BC6CEBCFC965}" destId="{3C0E6242-7989-4451-9268-A997D6FA95F0}" srcOrd="0" destOrd="0" presId="urn:microsoft.com/office/officeart/2005/8/layout/orgChart1"/>
    <dgm:cxn modelId="{94C8578B-3467-4183-9D86-9E3DF03ED1A8}" type="presParOf" srcId="{3C0E6242-7989-4451-9268-A997D6FA95F0}" destId="{121C74FB-2A42-44D7-B27E-31B233754FC4}" srcOrd="0" destOrd="0" presId="urn:microsoft.com/office/officeart/2005/8/layout/orgChart1"/>
    <dgm:cxn modelId="{CA42BBEE-9A44-48EA-B7C8-8E4DF47013FE}" type="presParOf" srcId="{121C74FB-2A42-44D7-B27E-31B233754FC4}" destId="{909EA145-076D-4BC8-BD5B-F59683D2073A}" srcOrd="0" destOrd="0" presId="urn:microsoft.com/office/officeart/2005/8/layout/orgChart1"/>
    <dgm:cxn modelId="{A1C0DC12-1E5F-4FD0-8A84-3226255665DE}" type="presParOf" srcId="{121C74FB-2A42-44D7-B27E-31B233754FC4}" destId="{F1C04F69-8BA6-4278-AFC1-D2B092213D3B}" srcOrd="1" destOrd="0" presId="urn:microsoft.com/office/officeart/2005/8/layout/orgChart1"/>
    <dgm:cxn modelId="{109329C1-CE1C-4A3A-8D06-802767D43F4B}" type="presParOf" srcId="{3C0E6242-7989-4451-9268-A997D6FA95F0}" destId="{26E1F6D9-08FE-4A1F-AF86-E36354A54AEF}" srcOrd="1" destOrd="0" presId="urn:microsoft.com/office/officeart/2005/8/layout/orgChart1"/>
    <dgm:cxn modelId="{CC08FA5C-F4E0-48EB-A257-8BE71C22BFB3}" type="presParOf" srcId="{26E1F6D9-08FE-4A1F-AF86-E36354A54AEF}" destId="{AC2A182D-1678-4360-A130-231DB1FE6B45}" srcOrd="0" destOrd="0" presId="urn:microsoft.com/office/officeart/2005/8/layout/orgChart1"/>
    <dgm:cxn modelId="{DDD41466-B912-4A14-A94C-E46871DF8F42}" type="presParOf" srcId="{26E1F6D9-08FE-4A1F-AF86-E36354A54AEF}" destId="{051ECC0C-F9EB-4619-993E-326A9C520A8E}" srcOrd="1" destOrd="0" presId="urn:microsoft.com/office/officeart/2005/8/layout/orgChart1"/>
    <dgm:cxn modelId="{D76EA525-3ECF-4650-B767-EA8093FC580B}" type="presParOf" srcId="{051ECC0C-F9EB-4619-993E-326A9C520A8E}" destId="{310370CF-68A7-419B-97E4-8D3446A6FDA0}" srcOrd="0" destOrd="0" presId="urn:microsoft.com/office/officeart/2005/8/layout/orgChart1"/>
    <dgm:cxn modelId="{BC0CEA4E-5897-4B41-A961-78EA2CCD7C78}" type="presParOf" srcId="{310370CF-68A7-419B-97E4-8D3446A6FDA0}" destId="{3277ACD7-6C9D-49AB-AA58-BACD4C38B626}" srcOrd="0" destOrd="0" presId="urn:microsoft.com/office/officeart/2005/8/layout/orgChart1"/>
    <dgm:cxn modelId="{AD266999-C125-44A9-8A27-372A34AA206A}" type="presParOf" srcId="{310370CF-68A7-419B-97E4-8D3446A6FDA0}" destId="{F401AE51-AEC1-4094-94C7-67FFAAD44F4A}" srcOrd="1" destOrd="0" presId="urn:microsoft.com/office/officeart/2005/8/layout/orgChart1"/>
    <dgm:cxn modelId="{7829AA54-547B-48FC-90A8-53348445586F}" type="presParOf" srcId="{051ECC0C-F9EB-4619-993E-326A9C520A8E}" destId="{409DFC5B-BA09-4A21-9CDB-736F1A847953}" srcOrd="1" destOrd="0" presId="urn:microsoft.com/office/officeart/2005/8/layout/orgChart1"/>
    <dgm:cxn modelId="{AEA9B638-456B-4503-9769-90E27DAE8202}" type="presParOf" srcId="{051ECC0C-F9EB-4619-993E-326A9C520A8E}" destId="{E02EA8EA-B4A4-4604-8917-60D28527F11B}" srcOrd="2" destOrd="0" presId="urn:microsoft.com/office/officeart/2005/8/layout/orgChart1"/>
    <dgm:cxn modelId="{1A7B4636-0B23-4FE5-BA4F-92442E252AD1}" type="presParOf" srcId="{26E1F6D9-08FE-4A1F-AF86-E36354A54AEF}" destId="{B235D67D-843E-4A10-B175-6B77087274F8}" srcOrd="2" destOrd="0" presId="urn:microsoft.com/office/officeart/2005/8/layout/orgChart1"/>
    <dgm:cxn modelId="{69CA0210-FB92-47D4-8731-BAE504776CAF}" type="presParOf" srcId="{26E1F6D9-08FE-4A1F-AF86-E36354A54AEF}" destId="{752BA632-6497-4176-8ED0-50DA63B9E2BD}" srcOrd="3" destOrd="0" presId="urn:microsoft.com/office/officeart/2005/8/layout/orgChart1"/>
    <dgm:cxn modelId="{55A3C67D-214A-4D65-A8BE-D1D8FCBBA24E}" type="presParOf" srcId="{752BA632-6497-4176-8ED0-50DA63B9E2BD}" destId="{9BDDC51F-0F46-4254-AD70-0E37E966B6C6}" srcOrd="0" destOrd="0" presId="urn:microsoft.com/office/officeart/2005/8/layout/orgChart1"/>
    <dgm:cxn modelId="{99534AAC-4E9C-498F-9C20-977FABF51E96}" type="presParOf" srcId="{9BDDC51F-0F46-4254-AD70-0E37E966B6C6}" destId="{38DA428A-01F7-489E-BBD8-B88EE686390B}" srcOrd="0" destOrd="0" presId="urn:microsoft.com/office/officeart/2005/8/layout/orgChart1"/>
    <dgm:cxn modelId="{772D7055-18AF-48D2-A484-E51395FF1658}" type="presParOf" srcId="{9BDDC51F-0F46-4254-AD70-0E37E966B6C6}" destId="{38D1E8F4-1A59-48A4-8EC1-2D6D2BD347B7}" srcOrd="1" destOrd="0" presId="urn:microsoft.com/office/officeart/2005/8/layout/orgChart1"/>
    <dgm:cxn modelId="{4BB08CA3-5846-4FAB-9082-658AFF0FE92B}" type="presParOf" srcId="{752BA632-6497-4176-8ED0-50DA63B9E2BD}" destId="{98D737BA-DE34-4BEB-93DE-B9A024CAFDE6}" srcOrd="1" destOrd="0" presId="urn:microsoft.com/office/officeart/2005/8/layout/orgChart1"/>
    <dgm:cxn modelId="{D14E689A-37F0-4DE5-9AE3-1AE3E5B1F8C7}" type="presParOf" srcId="{752BA632-6497-4176-8ED0-50DA63B9E2BD}" destId="{C4991EA6-F2A4-4C4B-ABC4-D0C177DFA3A4}" srcOrd="2" destOrd="0" presId="urn:microsoft.com/office/officeart/2005/8/layout/orgChart1"/>
    <dgm:cxn modelId="{74D7F752-1D4B-4D2C-A07F-1F85186A497E}" type="presParOf" srcId="{26E1F6D9-08FE-4A1F-AF86-E36354A54AEF}" destId="{17DC65D5-B766-43E6-BEB3-AD7DC94B539B}" srcOrd="4" destOrd="0" presId="urn:microsoft.com/office/officeart/2005/8/layout/orgChart1"/>
    <dgm:cxn modelId="{71F901F0-FE4C-4025-A138-CD82906F5D07}" type="presParOf" srcId="{26E1F6D9-08FE-4A1F-AF86-E36354A54AEF}" destId="{274E5E2F-AF98-4487-A819-A4EFE939E44B}" srcOrd="5" destOrd="0" presId="urn:microsoft.com/office/officeart/2005/8/layout/orgChart1"/>
    <dgm:cxn modelId="{5B908D51-66DB-4CF4-8F2A-C9CF3608761B}" type="presParOf" srcId="{274E5E2F-AF98-4487-A819-A4EFE939E44B}" destId="{E0D3CC77-7A8B-4A3A-B3A5-438183314CFA}" srcOrd="0" destOrd="0" presId="urn:microsoft.com/office/officeart/2005/8/layout/orgChart1"/>
    <dgm:cxn modelId="{07A0A3F0-9176-4395-B119-EEE4975CA7F7}" type="presParOf" srcId="{E0D3CC77-7A8B-4A3A-B3A5-438183314CFA}" destId="{49042760-A768-4013-9E4F-7F5ACA65BB62}" srcOrd="0" destOrd="0" presId="urn:microsoft.com/office/officeart/2005/8/layout/orgChart1"/>
    <dgm:cxn modelId="{A6E3A990-B009-4746-9B74-0137D9E6D879}" type="presParOf" srcId="{E0D3CC77-7A8B-4A3A-B3A5-438183314CFA}" destId="{2A781E52-447D-444A-91F7-12DC1D31FDD0}" srcOrd="1" destOrd="0" presId="urn:microsoft.com/office/officeart/2005/8/layout/orgChart1"/>
    <dgm:cxn modelId="{02F39BAE-6B7E-440A-BA38-66BECA187EFB}" type="presParOf" srcId="{274E5E2F-AF98-4487-A819-A4EFE939E44B}" destId="{F3616946-AE32-411F-AB70-C75F955FBBF3}" srcOrd="1" destOrd="0" presId="urn:microsoft.com/office/officeart/2005/8/layout/orgChart1"/>
    <dgm:cxn modelId="{F9019B16-ABE6-41B3-9E15-B9EA34E2FF5A}" type="presParOf" srcId="{274E5E2F-AF98-4487-A819-A4EFE939E44B}" destId="{807B55CE-6A29-4019-B708-4124611B03BF}" srcOrd="2" destOrd="0" presId="urn:microsoft.com/office/officeart/2005/8/layout/orgChart1"/>
    <dgm:cxn modelId="{005B0FD0-EFAA-41BD-97A1-35F9D86D4EF9}"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958217" y="1029471"/>
          <a:ext cx="2070613" cy="37816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899410" y="1029471"/>
          <a:ext cx="91440" cy="37816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942417" y="1029471"/>
          <a:ext cx="2015799" cy="365680"/>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097184" y="1684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mj-lt"/>
              <a:ea typeface="+mn-ea"/>
              <a:cs typeface="+mn-cs"/>
            </a:rPr>
            <a:t>Merkez Müdürü</a:t>
          </a:r>
        </a:p>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Prof. Dr. Cem Avcı</a:t>
          </a:r>
        </a:p>
      </dsp:txBody>
      <dsp:txXfrm>
        <a:off x="2097184" y="168437"/>
        <a:ext cx="1722066" cy="861033"/>
      </dsp:txXfrm>
    </dsp:sp>
    <dsp:sp modelId="{3277ACD7-6C9D-49AB-AA58-BACD4C38B626}">
      <dsp:nvSpPr>
        <dsp:cNvPr id="0" name=""/>
        <dsp:cNvSpPr/>
      </dsp:nvSpPr>
      <dsp:spPr>
        <a:xfrm>
          <a:off x="81384" y="1395152"/>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Kurulu</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r>
            <a:rPr lang="tr-TR" sz="1100" kern="1200">
              <a:solidFill>
                <a:sysClr val="window" lastClr="FFFFFF"/>
              </a:solidFill>
              <a:latin typeface="Calibri"/>
              <a:ea typeface="+mn-ea"/>
              <a:cs typeface="+mn-cs"/>
            </a:rPr>
            <a:t> </a:t>
          </a:r>
        </a:p>
      </dsp:txBody>
      <dsp:txXfrm>
        <a:off x="81384" y="1395152"/>
        <a:ext cx="1722066" cy="861033"/>
      </dsp:txXfrm>
    </dsp:sp>
    <dsp:sp modelId="{38DA428A-01F7-489E-BBD8-B88EE686390B}">
      <dsp:nvSpPr>
        <dsp:cNvPr id="0" name=""/>
        <dsp:cNvSpPr/>
      </dsp:nvSpPr>
      <dsp:spPr>
        <a:xfrm>
          <a:off x="2084096"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Sekreter</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Erol Metin </a:t>
          </a:r>
          <a:endParaRPr lang="tr-TR" sz="1100" kern="1200">
            <a:solidFill>
              <a:sysClr val="window" lastClr="FFFFFF"/>
            </a:solidFill>
            <a:latin typeface="Calibri"/>
            <a:ea typeface="+mn-ea"/>
            <a:cs typeface="+mn-cs"/>
          </a:endParaRPr>
        </a:p>
      </dsp:txBody>
      <dsp:txXfrm>
        <a:off x="2084096" y="1407637"/>
        <a:ext cx="1722066" cy="861033"/>
      </dsp:txXfrm>
    </dsp:sp>
    <dsp:sp modelId="{49042760-A768-4013-9E4F-7F5ACA65BB62}">
      <dsp:nvSpPr>
        <dsp:cNvPr id="0" name=""/>
        <dsp:cNvSpPr/>
      </dsp:nvSpPr>
      <dsp:spPr>
        <a:xfrm>
          <a:off x="4167797"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Kurul</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endParaRPr lang="tr-TR" sz="1100" kern="1200">
            <a:solidFill>
              <a:sysClr val="window" lastClr="FFFFFF"/>
            </a:solidFill>
            <a:latin typeface="Calibri"/>
            <a:ea typeface="+mn-ea"/>
            <a:cs typeface="+mn-cs"/>
          </a:endParaRPr>
        </a:p>
      </dsp:txBody>
      <dsp:txXfrm>
        <a:off x="4167797" y="1407637"/>
        <a:ext cx="1722066" cy="8610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5E6C9-2F55-41BA-801C-91F954C8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1507</Words>
  <Characters>8593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Enerji Politikaları Uygulama ve Araştırma Merkezi</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2024</dc:subject>
  <dc:creator>Gülşen Mutlu</dc:creator>
  <cp:lastModifiedBy>user</cp:lastModifiedBy>
  <cp:revision>13</cp:revision>
  <dcterms:created xsi:type="dcterms:W3CDTF">2024-02-09T07:12:00Z</dcterms:created>
  <dcterms:modified xsi:type="dcterms:W3CDTF">2025-03-20T08:13:00Z</dcterms:modified>
</cp:coreProperties>
</file>