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E1190F" w:rsidP="00F0171E">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0171E">
                      <w:rPr>
                        <w:color w:val="548DD4" w:themeColor="text2" w:themeTint="99"/>
                        <w:sz w:val="96"/>
                        <w:szCs w:val="96"/>
                      </w:rPr>
                      <w:t>Enerji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E1190F" w:rsidP="0079052F">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CE7C85">
                      <w:rPr>
                        <w:b/>
                        <w:sz w:val="96"/>
                        <w:szCs w:val="96"/>
                      </w:rPr>
                      <w:t>2</w:t>
                    </w:r>
                    <w:r w:rsidR="009F71F6">
                      <w:rPr>
                        <w:b/>
                        <w:sz w:val="96"/>
                        <w:szCs w:val="96"/>
                      </w:rPr>
                      <w:t>3</w:t>
                    </w:r>
                  </w:sdtContent>
                </w:sdt>
              </w:p>
            </w:tc>
          </w:tr>
          <w:tr w:rsidR="00D9381D" w:rsidRPr="00D6527A">
            <w:trPr>
              <w:trHeight w:val="1152"/>
            </w:trPr>
            <w:tc>
              <w:tcPr>
                <w:tcW w:w="0" w:type="auto"/>
                <w:vAlign w:val="bottom"/>
              </w:tcPr>
              <w:p w:rsidR="00D9381D" w:rsidRPr="00D6527A" w:rsidRDefault="00E1190F"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6B6F07E" wp14:editId="4334E80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14D373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FB5BDEA" wp14:editId="5A43996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CE4FF2B"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E6073EE" wp14:editId="054C732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E6073E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EAD5EB" wp14:editId="2C1D730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59162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0D2F1DF" wp14:editId="3795A41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0B005A"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lastRenderedPageBreak/>
        <w:t>I-MERKEZİN MİSYON VE VİZYONU</w:t>
      </w:r>
    </w:p>
    <w:p w:rsidR="00787477" w:rsidRPr="000B005A" w:rsidRDefault="00787477" w:rsidP="00EA3BE2">
      <w:pPr>
        <w:spacing w:after="0" w:line="300" w:lineRule="exact"/>
        <w:rPr>
          <w:rFonts w:ascii="Cambria" w:eastAsia="Calibri" w:hAnsi="Cambria" w:cs="InterstateLight"/>
          <w:lang w:val="de-DE"/>
        </w:rPr>
      </w:pPr>
    </w:p>
    <w:p w:rsidR="00E17ECD" w:rsidRPr="000B005A" w:rsidRDefault="00E052B1" w:rsidP="00EA3BE2">
      <w:pPr>
        <w:autoSpaceDE w:val="0"/>
        <w:autoSpaceDN w:val="0"/>
        <w:adjustRightInd w:val="0"/>
        <w:spacing w:after="0" w:line="300" w:lineRule="exact"/>
        <w:jc w:val="both"/>
        <w:rPr>
          <w:rFonts w:ascii="Cambria" w:eastAsia="Calibri" w:hAnsi="Cambria" w:cs="InterstateLight"/>
          <w:lang w:val="de-DE"/>
        </w:rPr>
      </w:pPr>
      <w:r>
        <w:rPr>
          <w:rFonts w:ascii="Cambria" w:eastAsia="Calibri" w:hAnsi="Cambria" w:cs="InterstateLight"/>
          <w:b/>
          <w:lang w:val="de-DE"/>
        </w:rPr>
        <w:t>Misyon</w:t>
      </w:r>
      <w:r w:rsidR="00F0171E" w:rsidRPr="000B005A">
        <w:rPr>
          <w:rFonts w:ascii="Cambria" w:eastAsia="Calibri" w:hAnsi="Cambria" w:cs="InterstateLight"/>
          <w:b/>
          <w:lang w:val="de-DE"/>
        </w:rPr>
        <w:t>:</w:t>
      </w:r>
      <w:r>
        <w:rPr>
          <w:rFonts w:ascii="Cambria" w:eastAsia="Calibri" w:hAnsi="Cambria" w:cs="InterstateLight"/>
          <w:lang w:val="de-DE"/>
        </w:rPr>
        <w:t xml:space="preserve"> </w:t>
      </w:r>
      <w:r w:rsidR="00F0171E" w:rsidRPr="000B005A">
        <w:rPr>
          <w:rFonts w:ascii="Cambria" w:eastAsia="Calibri" w:hAnsi="Cambria" w:cs="InterstateLight"/>
          <w:lang w:val="de-DE"/>
        </w:rPr>
        <w:t>Enerji politikaları üzerine çok-disiplinli bir perspektiften bilimsel araştırmalar yaparak, eğitimler düzenleyerek, ulusal ve uluslararası işbirlikleri tesis ederek ve yaygın katılımlı tartışma platformları oluşturarak rasyonel karar vermeye akademik katkı sağlamak, kamu yönetimine, politika oluşturuculara, piyasa oyuncularına, enerji politikaları üzerine karar vericilere, ve uzmanlara bilimsel, şeffaf, güvenilir ve kolay erişilebilir bir danışma ve karar destek ortamı sunmak.</w:t>
      </w:r>
    </w:p>
    <w:p w:rsidR="00F0171E" w:rsidRPr="000B005A" w:rsidRDefault="00F0171E" w:rsidP="00EA3BE2">
      <w:pPr>
        <w:shd w:val="clear" w:color="auto" w:fill="FFFFFF"/>
        <w:spacing w:after="0" w:line="300" w:lineRule="exact"/>
        <w:jc w:val="both"/>
        <w:textAlignment w:val="baseline"/>
        <w:rPr>
          <w:rFonts w:ascii="Cambria" w:eastAsia="Calibri" w:hAnsi="Cambria" w:cs="InterstateLight"/>
          <w:lang w:val="de-DE"/>
        </w:rPr>
      </w:pPr>
    </w:p>
    <w:p w:rsidR="00F0171E" w:rsidRPr="000B005A" w:rsidRDefault="00F0171E"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b/>
          <w:lang w:val="de-DE"/>
        </w:rPr>
        <w:t>Vizyon:</w:t>
      </w:r>
      <w:r w:rsidRPr="000B005A">
        <w:rPr>
          <w:rFonts w:ascii="Cambria" w:eastAsia="Calibri" w:hAnsi="Cambria" w:cs="InterstateLight"/>
          <w:lang w:val="de-DE"/>
        </w:rPr>
        <w:t xml:space="preserve"> Bilgiyi doğru, tarafsız, çok disiplinli ve bilimsel temellere dayalı olarak bütünsel bir değerlendirme ile şeffaf bir ortamda oluşturup yayan araştırma ve uygulama merkezi olarak ulusal, bölgesel ve uluslararası düzeyde enerji politikalarının geliştirilmesinde ve uygulamasında söz sahibi olmak.</w:t>
      </w:r>
    </w:p>
    <w:p w:rsidR="00F0171E" w:rsidRPr="000B005A" w:rsidRDefault="00F0171E" w:rsidP="00EA3BE2">
      <w:pPr>
        <w:spacing w:after="0" w:line="300" w:lineRule="exact"/>
        <w:rPr>
          <w:rFonts w:ascii="Cambria" w:eastAsia="Calibri" w:hAnsi="Cambria" w:cs="Times New Roman"/>
          <w:b/>
          <w:color w:val="365F91" w:themeColor="accent1" w:themeShade="BF"/>
          <w:lang w:eastAsia="tr-TR"/>
        </w:rPr>
      </w:pPr>
      <w:bookmarkStart w:id="0" w:name="_GoBack"/>
      <w:bookmarkEnd w:id="0"/>
    </w:p>
    <w:p w:rsidR="007F0207" w:rsidRPr="000B005A" w:rsidRDefault="00522364"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w:t>
      </w:r>
      <w:r w:rsidR="002471B2" w:rsidRPr="000B005A">
        <w:rPr>
          <w:rFonts w:ascii="Cambria" w:eastAsia="Calibri" w:hAnsi="Cambria" w:cs="Times New Roman"/>
          <w:b/>
          <w:color w:val="365F91" w:themeColor="accent1" w:themeShade="BF"/>
          <w:sz w:val="28"/>
          <w:szCs w:val="28"/>
          <w:lang w:eastAsia="tr-TR"/>
        </w:rPr>
        <w:t>I</w:t>
      </w:r>
      <w:r w:rsidRPr="000B005A">
        <w:rPr>
          <w:rFonts w:ascii="Cambria" w:eastAsia="Calibri" w:hAnsi="Cambria" w:cs="Times New Roman"/>
          <w:b/>
          <w:color w:val="365F91" w:themeColor="accent1" w:themeShade="BF"/>
          <w:sz w:val="28"/>
          <w:szCs w:val="28"/>
          <w:lang w:eastAsia="tr-TR"/>
        </w:rPr>
        <w:t>-MERKEZİN TARİHÇESİ, AMACI VE HEDEFLERİ</w:t>
      </w:r>
    </w:p>
    <w:p w:rsidR="00220BAD" w:rsidRPr="000B005A" w:rsidRDefault="00220BAD" w:rsidP="00EA3BE2">
      <w:pPr>
        <w:spacing w:after="0" w:line="300" w:lineRule="exact"/>
        <w:rPr>
          <w:rFonts w:ascii="Cambria" w:eastAsia="Calibri" w:hAnsi="Cambria" w:cs="InterstateLight"/>
          <w:lang w:val="de-DE"/>
        </w:rPr>
      </w:pPr>
    </w:p>
    <w:p w:rsidR="005A1A29" w:rsidRPr="000B005A" w:rsidRDefault="005A1A29"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lang w:val="de-DE"/>
        </w:rPr>
        <w:t xml:space="preserve">          EPAM, Enerji Politikaları Araştırma ve Uygulama Merkezinin kuruluşu 18 Aralık 2014 tarih ve 29209 Sayılı Resmi Gazete’de yayınlanan Yönetmelik ile birlikte resmileşmiştir. EPAM’ın amacı Türkiye’de Enerji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p>
    <w:p w:rsidR="005A1A29" w:rsidRPr="000B005A" w:rsidRDefault="005A1A29" w:rsidP="00EA3BE2">
      <w:pPr>
        <w:spacing w:after="0" w:line="300" w:lineRule="exact"/>
        <w:rPr>
          <w:rFonts w:ascii="Cambria" w:hAnsi="Cambria" w:cs="Calibri"/>
        </w:rPr>
      </w:pPr>
    </w:p>
    <w:p w:rsidR="002471B2" w:rsidRPr="000B005A"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III-MERKEZİN TEMEL POLİTİKA VE ÖNCELİKLERİ</w:t>
      </w:r>
    </w:p>
    <w:p w:rsidR="002471B2" w:rsidRPr="000B005A" w:rsidRDefault="002471B2" w:rsidP="00EA3BE2">
      <w:pPr>
        <w:pStyle w:val="ListeParagraf"/>
        <w:spacing w:after="0" w:line="300" w:lineRule="exact"/>
        <w:ind w:left="0"/>
        <w:rPr>
          <w:rFonts w:ascii="Cambria" w:eastAsia="Calibri" w:hAnsi="Cambria" w:cs="InterstateLight"/>
          <w:lang w:val="de-DE"/>
        </w:rPr>
      </w:pPr>
    </w:p>
    <w:p w:rsidR="009972CD" w:rsidRPr="000B005A" w:rsidRDefault="007627B1"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lang w:val="de-DE"/>
        </w:rPr>
        <w:t xml:space="preserve">          Merkezin temel politikası öncelikli olarak kurumsallaşmak, ilgili Kurumlar ile güçlü bir network kurmak ve kamu oyunda tanınır hale gelmek sureti ile bu alanda ihtiyaç duyulan bağımsız ve güçlü referans kurum olma özelliğini sağlayacak ilk çatıyı kurmakla başlamaktadır. Bu amaçla öncelikli olarak merkezin kurumsal alt yapısını güçlendirmek, yapılacak akademik ve bilimsel çalışmalara finansal kaynak oluşturmak ve bunu takiben referans kurum olabilmek için güvenilir nitelikli çalışmalar yapmak ve merkezin kadrosunu güçlendirmektir. Bu amaçla öncelikli olarak Enerji ve Tabii Kaynaklar Bakanlığı ve Enerji Piyasası Düzenleme Kurumu ile yakın bir çalışma ortamı oluşturmak üzere önceliklerini şekillendirmiştir.</w:t>
      </w:r>
    </w:p>
    <w:p w:rsidR="00964C34" w:rsidRPr="000B005A" w:rsidRDefault="00964C34" w:rsidP="00EA3BE2">
      <w:pPr>
        <w:autoSpaceDE w:val="0"/>
        <w:autoSpaceDN w:val="0"/>
        <w:adjustRightInd w:val="0"/>
        <w:spacing w:after="0" w:line="300" w:lineRule="exact"/>
        <w:jc w:val="both"/>
        <w:rPr>
          <w:rFonts w:ascii="Cambria" w:eastAsia="Calibri" w:hAnsi="Cambria" w:cs="InterstateLight"/>
          <w:lang w:val="de-DE"/>
        </w:rPr>
      </w:pPr>
    </w:p>
    <w:p w:rsidR="00964C34" w:rsidRPr="000B005A" w:rsidRDefault="00964C34" w:rsidP="00964C34">
      <w:pPr>
        <w:spacing w:before="60" w:after="0" w:line="360" w:lineRule="auto"/>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IV-MERKEZDE YETKİ, GÖREV VE SORUMLULUKLAR</w:t>
      </w:r>
    </w:p>
    <w:p w:rsidR="00964C34" w:rsidRPr="000B005A" w:rsidRDefault="00964C34" w:rsidP="00964C34">
      <w:pPr>
        <w:spacing w:after="0" w:line="300" w:lineRule="exact"/>
        <w:rPr>
          <w:rFonts w:ascii="Cambria" w:eastAsia="Calibri" w:hAnsi="Cambria" w:cs="InterstateLight"/>
          <w:b/>
          <w:lang w:val="de-DE"/>
        </w:rPr>
      </w:pPr>
      <w:r w:rsidRPr="000B005A">
        <w:rPr>
          <w:rFonts w:ascii="Cambria" w:hAnsi="Cambria"/>
          <w:b/>
        </w:rPr>
        <w:t>a)</w:t>
      </w:r>
      <w:r w:rsidRPr="000B005A">
        <w:rPr>
          <w:rFonts w:ascii="Cambria" w:eastAsia="Calibri" w:hAnsi="Cambria" w:cs="InterstateLight"/>
          <w:b/>
          <w:lang w:val="de-DE"/>
        </w:rPr>
        <w:t>Örgüt Yapısı</w:t>
      </w:r>
    </w:p>
    <w:p w:rsidR="00964C34" w:rsidRPr="000B005A" w:rsidRDefault="00964C34" w:rsidP="00964C34">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Merkez Müdürü</w:t>
      </w:r>
      <w:r w:rsidRPr="000B005A">
        <w:rPr>
          <w:rFonts w:ascii="Cambria" w:eastAsia="Calibri" w:hAnsi="Cambria" w:cs="InterstateLight"/>
          <w:lang w:val="de-DE"/>
        </w:rPr>
        <w:t xml:space="preserve">: Prof. Dr. Cem Avcı  </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Merkez Müdür Yardımcıları</w:t>
      </w:r>
      <w:r w:rsidRPr="000B005A">
        <w:rPr>
          <w:rFonts w:ascii="Cambria" w:eastAsia="Calibri" w:hAnsi="Cambria" w:cs="InterstateLight"/>
          <w:lang w:val="de-DE"/>
        </w:rPr>
        <w:t xml:space="preserve">: Bulunmamaktadır. </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Yönetim Kurulu Üyeleri</w:t>
      </w:r>
      <w:r w:rsidRPr="000B005A">
        <w:rPr>
          <w:rFonts w:ascii="Cambria" w:eastAsia="Calibri" w:hAnsi="Cambria" w:cs="InterstateLight"/>
          <w:lang w:val="de-DE"/>
        </w:rPr>
        <w:t>: Prof. Dr. Cem Avcı (Başkan), Prof. Dr. Gürkan Kumbaroğlu, Prof. Dr. Ramazan Yıldırım, Prof. Dr. Turgut Tüzün Onay</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Danışma Kurulu Üyeleri</w:t>
      </w:r>
      <w:r w:rsidRPr="000B005A">
        <w:rPr>
          <w:rFonts w:ascii="Cambria" w:eastAsia="Calibri" w:hAnsi="Cambria" w:cs="InterstateLight"/>
          <w:lang w:val="de-DE"/>
        </w:rPr>
        <w:t xml:space="preserve">: Danışma Kurulu bulunmamaktadır. </w:t>
      </w:r>
    </w:p>
    <w:p w:rsidR="0079052F" w:rsidRPr="000B005A" w:rsidRDefault="0079052F" w:rsidP="0079052F">
      <w:pPr>
        <w:spacing w:after="0" w:line="300" w:lineRule="exact"/>
        <w:rPr>
          <w:rFonts w:ascii="Cambria" w:eastAsia="Calibri" w:hAnsi="Cambria" w:cs="InterstateLight"/>
          <w:lang w:val="de-DE"/>
        </w:rPr>
      </w:pPr>
    </w:p>
    <w:p w:rsidR="00EB5710" w:rsidRPr="000B005A" w:rsidRDefault="00EB5710" w:rsidP="0079052F">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b/>
          <w:lang w:val="de-DE"/>
        </w:rPr>
      </w:pPr>
      <w:r w:rsidRPr="000B005A">
        <w:rPr>
          <w:rFonts w:ascii="Cambria" w:eastAsia="Calibri" w:hAnsi="Cambria" w:cs="InterstateLight"/>
          <w:b/>
          <w:lang w:val="de-DE"/>
        </w:rPr>
        <w:lastRenderedPageBreak/>
        <w:t xml:space="preserve">Genel Kurul </w:t>
      </w:r>
      <w:proofErr w:type="gramStart"/>
      <w:r w:rsidRPr="000B005A">
        <w:rPr>
          <w:rFonts w:ascii="Cambria" w:eastAsia="Calibri" w:hAnsi="Cambria" w:cs="InterstateLight"/>
          <w:b/>
          <w:lang w:val="de-DE"/>
        </w:rPr>
        <w:t>Üyeleri :</w:t>
      </w:r>
      <w:proofErr w:type="gramEnd"/>
      <w:r w:rsidRPr="000B005A">
        <w:rPr>
          <w:rFonts w:ascii="Cambria" w:eastAsia="Calibri" w:hAnsi="Cambria" w:cs="InterstateLight"/>
          <w:b/>
          <w:lang w:val="de-DE"/>
        </w:rPr>
        <w:t xml:space="preserve"> </w:t>
      </w:r>
    </w:p>
    <w:p w:rsidR="0079052F" w:rsidRPr="000B005A" w:rsidRDefault="0079052F" w:rsidP="0079052F">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lang w:val="de-DE"/>
        </w:rPr>
        <w:t>1. Prof.Dr. Fikret Adaman (Boğaziçi Üniversitesi Ekonomi Bölümü)</w:t>
      </w:r>
      <w:r w:rsidRPr="000B005A">
        <w:rPr>
          <w:rFonts w:ascii="Cambria" w:eastAsia="Calibri" w:hAnsi="Cambria" w:cs="InterstateLight"/>
          <w:lang w:val="de-DE"/>
        </w:rPr>
        <w:br/>
        <w:t>2. Prof.Dr. Taylan Akdoğan (Boğaziçi Üniversitesi Fizik Bölümü)</w:t>
      </w:r>
      <w:r w:rsidRPr="000B005A">
        <w:rPr>
          <w:rFonts w:ascii="Cambria" w:eastAsia="Calibri" w:hAnsi="Cambria" w:cs="InterstateLight"/>
          <w:lang w:val="de-DE"/>
        </w:rPr>
        <w:br/>
        <w:t>3. Prof.Dr. Erhan Aksoylu (Boğaziçi Üniversitesi Kimya Mühendisliği Bölümü)</w:t>
      </w:r>
      <w:r w:rsidRPr="000B005A">
        <w:rPr>
          <w:rFonts w:ascii="Cambria" w:eastAsia="Calibri" w:hAnsi="Cambria" w:cs="InterstateLight"/>
          <w:lang w:val="de-DE"/>
        </w:rPr>
        <w:br/>
        <w:t>4. Doç.Dr. Yıldız Arıkan (Bahçeşehir Üniversitesi Enerji Sistemleri Mühendisliği Bölümü)</w:t>
      </w:r>
      <w:r w:rsidRPr="000B005A">
        <w:rPr>
          <w:rFonts w:ascii="Cambria" w:eastAsia="Calibri" w:hAnsi="Cambria" w:cs="InterstateLight"/>
          <w:lang w:val="de-DE"/>
        </w:rPr>
        <w:br/>
        <w:t>5. Prof.Dr. Cem Avcı (Boğaziçi Üniversitesi İnşaat Mühendisliği Bölümü)</w:t>
      </w:r>
      <w:r w:rsidRPr="000B005A">
        <w:rPr>
          <w:rFonts w:ascii="Cambria" w:eastAsia="Calibri" w:hAnsi="Cambria" w:cs="InterstateLight"/>
          <w:lang w:val="de-DE"/>
        </w:rPr>
        <w:br/>
        <w:t>6. Prof.Dr. Gökhan Baykal (Boğaziçi Üniversitesi İnşaat Mühendisliği Bölümü)</w:t>
      </w:r>
      <w:r w:rsidRPr="000B005A">
        <w:rPr>
          <w:rFonts w:ascii="Cambria" w:eastAsia="Calibri" w:hAnsi="Cambria" w:cs="InterstateLight"/>
          <w:lang w:val="de-DE"/>
        </w:rPr>
        <w:br/>
        <w:t>7. Doç.Dr. Hasan Bedir (Boğaziçi Üniversitesi Makina Mühendisliği Bölümü)</w:t>
      </w:r>
      <w:r w:rsidRPr="000B005A">
        <w:rPr>
          <w:rFonts w:ascii="Cambria" w:eastAsia="Calibri" w:hAnsi="Cambria" w:cs="InterstateLight"/>
          <w:lang w:val="de-DE"/>
        </w:rPr>
        <w:br/>
        <w:t>8. Prof.Dr. Işıl Bozma (Boğaziçi Üniversitesi Elektrik-Elektronik Mühendisliği Bölümü)</w:t>
      </w:r>
      <w:r w:rsidRPr="000B005A">
        <w:rPr>
          <w:rFonts w:ascii="Cambria" w:eastAsia="Calibri" w:hAnsi="Cambria" w:cs="InterstateLight"/>
          <w:lang w:val="de-DE"/>
        </w:rPr>
        <w:br/>
        <w:t xml:space="preserve">9. Dr. </w:t>
      </w:r>
      <w:r w:rsidR="00EB5710" w:rsidRPr="000B005A">
        <w:rPr>
          <w:rFonts w:ascii="Cambria" w:eastAsia="Calibri" w:hAnsi="Cambria" w:cs="InterstateLight"/>
          <w:lang w:val="de-DE"/>
        </w:rPr>
        <w:t xml:space="preserve">Öğr. Üyesi </w:t>
      </w:r>
      <w:r w:rsidRPr="000B005A">
        <w:rPr>
          <w:rFonts w:ascii="Cambria" w:eastAsia="Calibri" w:hAnsi="Cambria" w:cs="InterstateLight"/>
          <w:lang w:val="de-DE"/>
        </w:rPr>
        <w:t>Murat Çelik (Boğaziçi Üniversitesi Makina Mühendisliği Bölümü)</w:t>
      </w:r>
      <w:r w:rsidRPr="000B005A">
        <w:rPr>
          <w:rFonts w:ascii="Cambria" w:eastAsia="Calibri" w:hAnsi="Cambria" w:cs="InterstateLight"/>
          <w:lang w:val="de-DE"/>
        </w:rPr>
        <w:br/>
        <w:t xml:space="preserve">10. </w:t>
      </w:r>
      <w:r w:rsidR="00EB5710" w:rsidRPr="000B005A">
        <w:rPr>
          <w:rFonts w:ascii="Cambria" w:eastAsia="Calibri" w:hAnsi="Cambria" w:cs="InterstateLight"/>
          <w:lang w:val="de-DE"/>
        </w:rPr>
        <w:t xml:space="preserve">Dr. Öğr. Üyesi </w:t>
      </w:r>
      <w:r w:rsidRPr="000B005A">
        <w:rPr>
          <w:rFonts w:ascii="Cambria" w:eastAsia="Calibri" w:hAnsi="Cambria" w:cs="InterstateLight"/>
          <w:lang w:val="de-DE"/>
        </w:rPr>
        <w:t>Oktay Demircan (Boğaziçi Ün</w:t>
      </w:r>
      <w:r w:rsidR="001519AE" w:rsidRPr="000B005A">
        <w:rPr>
          <w:rFonts w:ascii="Cambria" w:eastAsia="Calibri" w:hAnsi="Cambria" w:cs="InterstateLight"/>
          <w:lang w:val="de-DE"/>
        </w:rPr>
        <w:t>iversitesi Kimya Bölümü)</w:t>
      </w:r>
      <w:r w:rsidR="001519AE" w:rsidRPr="000B005A">
        <w:rPr>
          <w:rFonts w:ascii="Cambria" w:eastAsia="Calibri" w:hAnsi="Cambria" w:cs="InterstateLight"/>
          <w:lang w:val="de-DE"/>
        </w:rPr>
        <w:br/>
        <w:t>11. Prof</w:t>
      </w:r>
      <w:r w:rsidRPr="000B005A">
        <w:rPr>
          <w:rFonts w:ascii="Cambria" w:eastAsia="Calibri" w:hAnsi="Cambria" w:cs="InterstateLight"/>
          <w:lang w:val="de-DE"/>
        </w:rPr>
        <w:t>.Dr. Burak Demirel (Boğaziçi Üniversitesi Çevre Bilimleri Enstitüsü)</w:t>
      </w:r>
      <w:r w:rsidRPr="000B005A">
        <w:rPr>
          <w:rFonts w:ascii="Cambria" w:eastAsia="Calibri" w:hAnsi="Cambria" w:cs="InterstateLight"/>
          <w:lang w:val="de-DE"/>
        </w:rPr>
        <w:br/>
        <w:t>12. Prof.Dr. Cem Ersoy (Boğaziçi Üniversitesi Bilgisayar Mühendislği Bölümü)</w:t>
      </w:r>
      <w:r w:rsidRPr="000B005A">
        <w:rPr>
          <w:rFonts w:ascii="Cambria" w:eastAsia="Calibri" w:hAnsi="Cambria" w:cs="InterstateLight"/>
          <w:lang w:val="de-DE"/>
        </w:rPr>
        <w:br/>
        <w:t>13. Prof.Dr. Gürkan Kumbaroğlu (Boğaziçi Üniversitesi Endüstri Mühendislği Bölümü)</w:t>
      </w:r>
      <w:r w:rsidRPr="000B005A">
        <w:rPr>
          <w:rFonts w:ascii="Cambria" w:eastAsia="Calibri" w:hAnsi="Cambria" w:cs="InterstateLight"/>
          <w:lang w:val="de-DE"/>
        </w:rPr>
        <w:br/>
        <w:t>14. Prof.Dr.Turgut T. Onay (Boğaziçi Üniversitesi Çevre Bilimleri Enstitüsü)</w:t>
      </w:r>
      <w:r w:rsidRPr="000B005A">
        <w:rPr>
          <w:rFonts w:ascii="Cambria" w:eastAsia="Calibri" w:hAnsi="Cambria" w:cs="InterstateLight"/>
          <w:lang w:val="de-DE"/>
        </w:rPr>
        <w:br/>
        <w:t>15. Prof.Dr. İlhan Or (Boğaziçi Üniversitesi Endüstri Mühendislği Bölümü)</w:t>
      </w:r>
      <w:r w:rsidRPr="000B005A">
        <w:rPr>
          <w:rFonts w:ascii="Cambria" w:eastAsia="Calibri" w:hAnsi="Cambria" w:cs="InterstateLight"/>
          <w:lang w:val="de-DE"/>
        </w:rPr>
        <w:br/>
        <w:t>16. Prof.Dr. Emre Otay (Boğaziçi Üniversitesi İnşaat Mühendisliği Bölümü)</w:t>
      </w:r>
      <w:r w:rsidRPr="000B005A">
        <w:rPr>
          <w:rFonts w:ascii="Cambria" w:eastAsia="Calibri" w:hAnsi="Cambria" w:cs="InterstateLight"/>
          <w:lang w:val="de-DE"/>
        </w:rPr>
        <w:br/>
        <w:t xml:space="preserve">17. </w:t>
      </w:r>
      <w:r w:rsidR="00EB5710" w:rsidRPr="000B005A">
        <w:rPr>
          <w:rFonts w:ascii="Cambria" w:eastAsia="Calibri" w:hAnsi="Cambria" w:cs="InterstateLight"/>
          <w:lang w:val="de-DE"/>
        </w:rPr>
        <w:t xml:space="preserve">Dr. Öğr. Üyesi </w:t>
      </w:r>
      <w:r w:rsidRPr="000B005A">
        <w:rPr>
          <w:rFonts w:ascii="Cambria" w:eastAsia="Calibri" w:hAnsi="Cambria" w:cs="InterstateLight"/>
          <w:lang w:val="de-DE"/>
        </w:rPr>
        <w:t>Kemal Sarıca (Işık Üniversitesi Endüstri Mühendislği Bölümü)</w:t>
      </w:r>
      <w:r w:rsidRPr="000B005A">
        <w:rPr>
          <w:rFonts w:ascii="Cambria" w:eastAsia="Calibri" w:hAnsi="Cambria" w:cs="InterstateLight"/>
          <w:lang w:val="de-DE"/>
        </w:rPr>
        <w:br/>
        <w:t>18. Prof.Dr. Ali Kerem Saysel (Boğaziçi Üniversitesi Çevre Bilimleri Enstitüsü)</w:t>
      </w:r>
      <w:r w:rsidRPr="000B005A">
        <w:rPr>
          <w:rFonts w:ascii="Cambria" w:eastAsia="Calibri" w:hAnsi="Cambria" w:cs="InterstateLight"/>
          <w:lang w:val="de-DE"/>
        </w:rPr>
        <w:br/>
        <w:t>19. Prof.Dr. Alpar Sevgen (Boğaziçi Üniversitesi Fizik Bölümü)</w:t>
      </w:r>
      <w:r w:rsidRPr="000B005A">
        <w:rPr>
          <w:rFonts w:ascii="Cambria" w:eastAsia="Calibri" w:hAnsi="Cambria" w:cs="InterstateLight"/>
          <w:lang w:val="de-DE"/>
        </w:rPr>
        <w:br/>
        <w:t>20 Doç.Dr. Berat Z. Haznedaroğlu (Boğaziçi Üniversitesi Çevre Bilimleri Enstitüsü)</w:t>
      </w:r>
    </w:p>
    <w:p w:rsidR="0079052F" w:rsidRPr="000B005A" w:rsidRDefault="0079052F" w:rsidP="0079052F">
      <w:pPr>
        <w:pStyle w:val="ListeParagraf"/>
        <w:spacing w:after="0" w:line="300" w:lineRule="exact"/>
        <w:ind w:left="426"/>
        <w:rPr>
          <w:rFonts w:ascii="Cambria" w:eastAsia="Calibri" w:hAnsi="Cambria" w:cs="InterstateLight"/>
          <w:lang w:val="de-DE"/>
        </w:rPr>
      </w:pPr>
    </w:p>
    <w:p w:rsidR="00BE57EB" w:rsidRPr="000B005A" w:rsidRDefault="00B23FC4" w:rsidP="00CC15D3">
      <w:pPr>
        <w:spacing w:after="0" w:line="300" w:lineRule="exact"/>
        <w:rPr>
          <w:rFonts w:ascii="Cambria" w:eastAsia="Calibri" w:hAnsi="Cambria" w:cs="InterstateLight"/>
          <w:lang w:val="de-DE"/>
        </w:rPr>
      </w:pPr>
      <w:r w:rsidRPr="000B005A">
        <w:rPr>
          <w:rFonts w:ascii="Cambria" w:eastAsia="Calibri" w:hAnsi="Cambria" w:cs="InterstateLight"/>
          <w:b/>
          <w:lang w:val="de-DE"/>
        </w:rPr>
        <w:t>b) Teşkilat Şeması:</w:t>
      </w:r>
      <w:r w:rsidRPr="000B005A">
        <w:rPr>
          <w:rFonts w:ascii="Cambria" w:eastAsia="Calibri" w:hAnsi="Cambria" w:cs="InterstateLight"/>
          <w:lang w:val="de-DE"/>
        </w:rPr>
        <w:t xml:space="preserve"> Birim teşkilat şeması aşağıdaki tabloda verilmiştir.</w:t>
      </w:r>
    </w:p>
    <w:p w:rsidR="00BE57EB" w:rsidRPr="000B005A" w:rsidRDefault="00BE57EB" w:rsidP="00B23FC4">
      <w:pPr>
        <w:rPr>
          <w:rFonts w:ascii="Cambria" w:eastAsia="Calibri" w:hAnsi="Cambria" w:cs="InterstateLight"/>
          <w:lang w:val="de-DE"/>
        </w:rPr>
      </w:pPr>
    </w:p>
    <w:p w:rsidR="00BE57EB" w:rsidRDefault="00BE57EB" w:rsidP="00B23FC4">
      <w:pPr>
        <w:rPr>
          <w:rFonts w:asciiTheme="majorHAnsi" w:eastAsia="Calibri" w:hAnsiTheme="majorHAnsi" w:cs="InterstateLight"/>
          <w:lang w:val="de-DE"/>
        </w:rPr>
      </w:pPr>
    </w:p>
    <w:p w:rsidR="006F381B" w:rsidRPr="006F381B" w:rsidRDefault="00001EE6" w:rsidP="006F381B">
      <w:pPr>
        <w:rPr>
          <w:rFonts w:asciiTheme="majorHAnsi" w:eastAsia="Calibri" w:hAnsiTheme="majorHAnsi" w:cs="InterstateLight"/>
          <w:lang w:val="de-DE"/>
        </w:rPr>
      </w:pPr>
      <w:r w:rsidRPr="00BE0DA0">
        <w:rPr>
          <w:rFonts w:ascii="Trebuchet MS" w:hAnsi="Trebuchet MS"/>
          <w:noProof/>
          <w:sz w:val="20"/>
          <w:szCs w:val="20"/>
          <w:lang w:eastAsia="tr-TR"/>
        </w:rPr>
        <w:drawing>
          <wp:inline distT="0" distB="0" distL="0" distR="0" wp14:anchorId="30685D1E" wp14:editId="2EC9166D">
            <wp:extent cx="5890260" cy="2453640"/>
            <wp:effectExtent l="0" t="0" r="15240" b="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E57EB" w:rsidRPr="00BE57EB" w:rsidRDefault="00BE57EB" w:rsidP="00BE57E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BE57EB">
        <w:rPr>
          <w:rFonts w:ascii="Cambria" w:eastAsia="Calibri" w:hAnsi="Cambria" w:cs="Times New Roman"/>
          <w:b/>
          <w:color w:val="365F91" w:themeColor="accent1" w:themeShade="BF"/>
          <w:sz w:val="28"/>
          <w:szCs w:val="28"/>
          <w:lang w:eastAsia="tr-TR"/>
        </w:rPr>
        <w:t>TOPLUMA HİZMET</w:t>
      </w:r>
    </w:p>
    <w:p w:rsidR="00BE57EB" w:rsidRPr="00BE57EB" w:rsidRDefault="00BE57EB" w:rsidP="00BE57EB">
      <w:p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EPAM tarafından yapılan araştırmalar sürdürülebilir kalkınma hedefleri doğrultusunda, sürdürülebilir bir toplum yaratmak için topluma hizmet kategorisindedir. Bu hizmetler 3 ana başlık etrafında toparlanabilir:</w:t>
      </w:r>
    </w:p>
    <w:p w:rsidR="00BE57EB" w:rsidRPr="00BE57EB" w:rsidRDefault="00BE57EB" w:rsidP="00BE57EB">
      <w:pPr>
        <w:spacing w:after="0" w:line="300" w:lineRule="exact"/>
        <w:rPr>
          <w:rFonts w:asciiTheme="majorHAnsi" w:eastAsia="Calibri" w:hAnsiTheme="majorHAnsi" w:cs="InterstateLight"/>
          <w:lang w:val="de-DE"/>
        </w:rPr>
      </w:pP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Sürdürülebilir Enerji: Sürdürülebilir kalkınma için sürdürülebilir enerji 3,7,9 ve 11 numaralı hedeflere hizmet etmektedir. Sürdürülebilir Şehirler İş Birliği Çalıştayı bu kapsamda değerlendirilebilir.</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Yenilenebilir Enerji: Sürdürülebilir kalkınma için yenilenebilir enerji 7 ve 9 numaralı hedeflere hizmet etmektedir. Azerbaycan ile yapılan görüşmeler bu konuda değerlendirilebilir.</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 xml:space="preserve">Elektromobilite: Sürdürülebilir kalkınma için elektromobilite 3,9 ve 11 numaralı hedeflere hizmet etmektedir. Prof. Dr. Gürkan Kumbaroğlu’nun hazırladığı makale ve TÜBİTAK VE ISKTA Proje teklifleri (bakınız bölüm </w:t>
      </w:r>
      <w:r w:rsidR="00D31BDB">
        <w:rPr>
          <w:rFonts w:asciiTheme="majorHAnsi" w:eastAsia="Calibri" w:hAnsiTheme="majorHAnsi" w:cs="InterstateLight"/>
          <w:lang w:val="de-DE"/>
        </w:rPr>
        <w:t>IX</w:t>
      </w:r>
      <w:r w:rsidRPr="00BE57EB">
        <w:rPr>
          <w:rFonts w:asciiTheme="majorHAnsi" w:eastAsia="Calibri" w:hAnsiTheme="majorHAnsi" w:cs="InterstateLight"/>
          <w:lang w:val="de-DE"/>
        </w:rPr>
        <w:t>) bu kapsamda değerlendirilebilir.</w:t>
      </w:r>
    </w:p>
    <w:p w:rsidR="00BE57EB" w:rsidRDefault="00BE57EB" w:rsidP="00EA3BE2">
      <w:pPr>
        <w:spacing w:after="0" w:line="300" w:lineRule="exact"/>
        <w:rPr>
          <w:rFonts w:ascii="Cambria" w:eastAsia="Calibri" w:hAnsi="Cambria" w:cs="Times New Roman"/>
          <w:b/>
          <w:color w:val="365F91" w:themeColor="accent1" w:themeShade="BF"/>
          <w:sz w:val="28"/>
          <w:szCs w:val="28"/>
          <w:lang w:eastAsia="tr-TR"/>
        </w:rPr>
      </w:pPr>
    </w:p>
    <w:p w:rsidR="00AA1378" w:rsidRPr="00AA1378" w:rsidRDefault="00AA1378" w:rsidP="00AA137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AA1378">
        <w:rPr>
          <w:rFonts w:ascii="Cambria" w:eastAsia="Calibri" w:hAnsi="Cambria" w:cs="Times New Roman"/>
          <w:b/>
          <w:color w:val="365F91" w:themeColor="accent1" w:themeShade="BF"/>
          <w:sz w:val="28"/>
          <w:szCs w:val="28"/>
          <w:lang w:eastAsia="tr-TR"/>
        </w:rPr>
        <w:t>VI-MERKEZ ÜYELERİNİN KATILDIKLARI BİLİMSEL TOPLANTILAR</w:t>
      </w:r>
    </w:p>
    <w:p w:rsidR="00AA1378" w:rsidRPr="00AA1378" w:rsidRDefault="00AA1378" w:rsidP="00AA1378">
      <w:pPr>
        <w:autoSpaceDE w:val="0"/>
        <w:autoSpaceDN w:val="0"/>
        <w:adjustRightInd w:val="0"/>
        <w:spacing w:after="0" w:line="300" w:lineRule="exact"/>
        <w:rPr>
          <w:rFonts w:asciiTheme="majorHAnsi" w:hAnsiTheme="majorHAnsi"/>
          <w:bC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701"/>
        <w:gridCol w:w="2976"/>
        <w:gridCol w:w="1985"/>
      </w:tblGrid>
      <w:tr w:rsidR="00AA1378" w:rsidRPr="00AA1378" w:rsidTr="00AA1378">
        <w:trPr>
          <w:trHeight w:val="807"/>
        </w:trPr>
        <w:tc>
          <w:tcPr>
            <w:tcW w:w="2269" w:type="dxa"/>
            <w:shd w:val="clear" w:color="auto" w:fill="auto"/>
            <w:vAlign w:val="center"/>
          </w:tcPr>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r w:rsidRPr="00AA1378">
              <w:rPr>
                <w:rFonts w:ascii="Cambria" w:eastAsia="Times New Roman" w:hAnsi="Cambria" w:cs="Times New Roman"/>
                <w:b/>
                <w:bCs/>
                <w:sz w:val="24"/>
                <w:szCs w:val="24"/>
                <w:lang w:val="en-US" w:eastAsia="zh-CN"/>
              </w:rPr>
              <w:t>Faaliyetin Tarihi (leri)</w:t>
            </w:r>
          </w:p>
        </w:tc>
        <w:tc>
          <w:tcPr>
            <w:tcW w:w="1701" w:type="dxa"/>
            <w:shd w:val="clear" w:color="auto" w:fill="auto"/>
            <w:vAlign w:val="center"/>
          </w:tcPr>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r w:rsidRPr="00AA1378">
              <w:rPr>
                <w:rFonts w:ascii="Cambria" w:eastAsia="Times New Roman" w:hAnsi="Cambria" w:cs="Times New Roman"/>
                <w:b/>
                <w:bCs/>
                <w:sz w:val="24"/>
                <w:szCs w:val="24"/>
                <w:lang w:val="en-US" w:eastAsia="zh-CN"/>
              </w:rPr>
              <w:t>Faaliyetin Türü</w:t>
            </w:r>
          </w:p>
        </w:tc>
        <w:tc>
          <w:tcPr>
            <w:tcW w:w="2976" w:type="dxa"/>
            <w:shd w:val="clear" w:color="auto" w:fill="auto"/>
            <w:vAlign w:val="center"/>
          </w:tcPr>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r w:rsidRPr="00AA1378">
              <w:rPr>
                <w:rFonts w:ascii="Cambria" w:eastAsia="Times New Roman" w:hAnsi="Cambria" w:cs="Times New Roman"/>
                <w:b/>
                <w:bCs/>
                <w:sz w:val="24"/>
                <w:szCs w:val="24"/>
                <w:lang w:val="en-US" w:eastAsia="zh-CN"/>
              </w:rPr>
              <w:t>Faliyetin Adı</w:t>
            </w:r>
          </w:p>
        </w:tc>
        <w:tc>
          <w:tcPr>
            <w:tcW w:w="1985" w:type="dxa"/>
            <w:shd w:val="clear" w:color="auto" w:fill="auto"/>
            <w:vAlign w:val="center"/>
          </w:tcPr>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r w:rsidRPr="00AA1378">
              <w:rPr>
                <w:rFonts w:ascii="Cambria" w:eastAsia="Times New Roman" w:hAnsi="Cambria" w:cs="Times New Roman"/>
                <w:b/>
                <w:bCs/>
                <w:sz w:val="24"/>
                <w:szCs w:val="24"/>
                <w:lang w:val="en-US" w:eastAsia="zh-CN"/>
              </w:rPr>
              <w:t>Faaliyeti Yapan Birimin Adı</w:t>
            </w:r>
          </w:p>
        </w:tc>
      </w:tr>
      <w:tr w:rsidR="00AA1378" w:rsidRPr="00AA1378" w:rsidTr="00AA1378">
        <w:trPr>
          <w:trHeight w:val="585"/>
        </w:trPr>
        <w:tc>
          <w:tcPr>
            <w:tcW w:w="2269" w:type="dxa"/>
            <w:shd w:val="clear" w:color="auto" w:fill="auto"/>
            <w:vAlign w:val="center"/>
          </w:tcPr>
          <w:p w:rsidR="00AA1378" w:rsidRPr="00AA1378" w:rsidRDefault="00AA1378" w:rsidP="00AA1378">
            <w:pPr>
              <w:spacing w:after="0" w:line="360" w:lineRule="auto"/>
              <w:jc w:val="center"/>
              <w:rPr>
                <w:rFonts w:ascii="Cambria" w:eastAsia="Times New Roman" w:hAnsi="Cambria" w:cs="Times New Roman"/>
                <w:sz w:val="24"/>
                <w:szCs w:val="24"/>
                <w:lang w:val="en-US" w:eastAsia="zh-CN"/>
              </w:rPr>
            </w:pPr>
            <w:r w:rsidRPr="00AA1378">
              <w:rPr>
                <w:rFonts w:ascii="Cambria" w:eastAsia="Times New Roman" w:hAnsi="Cambria" w:cs="Times New Roman"/>
                <w:sz w:val="24"/>
                <w:szCs w:val="24"/>
                <w:lang w:val="en-US" w:eastAsia="zh-CN"/>
              </w:rPr>
              <w:t>04-09 Şubat 2023</w:t>
            </w:r>
          </w:p>
        </w:tc>
        <w:tc>
          <w:tcPr>
            <w:tcW w:w="1701" w:type="dxa"/>
            <w:shd w:val="clear" w:color="auto" w:fill="auto"/>
            <w:vAlign w:val="center"/>
          </w:tcPr>
          <w:p w:rsidR="00AA1378" w:rsidRPr="00AA1378" w:rsidRDefault="00AA1378" w:rsidP="00AA1378">
            <w:pPr>
              <w:spacing w:after="0" w:line="360" w:lineRule="auto"/>
              <w:jc w:val="center"/>
              <w:rPr>
                <w:rFonts w:ascii="Cambria" w:eastAsia="Times New Roman" w:hAnsi="Cambria" w:cs="Times New Roman"/>
                <w:sz w:val="24"/>
                <w:szCs w:val="24"/>
                <w:lang w:val="en-US" w:eastAsia="zh-CN"/>
              </w:rPr>
            </w:pPr>
            <w:r w:rsidRPr="00AA1378">
              <w:rPr>
                <w:rFonts w:ascii="Cambria" w:eastAsia="Times New Roman" w:hAnsi="Cambria" w:cs="Times New Roman"/>
                <w:sz w:val="24"/>
                <w:szCs w:val="24"/>
                <w:lang w:val="en-US" w:eastAsia="zh-CN"/>
              </w:rPr>
              <w:t>Konferans</w:t>
            </w:r>
          </w:p>
        </w:tc>
        <w:tc>
          <w:tcPr>
            <w:tcW w:w="2976" w:type="dxa"/>
            <w:shd w:val="clear" w:color="auto" w:fill="auto"/>
            <w:vAlign w:val="center"/>
          </w:tcPr>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r w:rsidRPr="00AA1378">
              <w:rPr>
                <w:rFonts w:ascii="Cambria" w:eastAsia="SimSun" w:hAnsi="Cambria" w:cs="Times New Roman"/>
                <w:bCs/>
                <w:color w:val="00000A"/>
                <w:sz w:val="24"/>
                <w:szCs w:val="24"/>
                <w:lang w:eastAsia="zh-CN"/>
              </w:rPr>
              <w:t>IAEE 2023 Riyad Konferansı</w:t>
            </w:r>
          </w:p>
        </w:tc>
        <w:tc>
          <w:tcPr>
            <w:tcW w:w="1985" w:type="dxa"/>
            <w:shd w:val="clear" w:color="auto" w:fill="auto"/>
          </w:tcPr>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p>
        </w:tc>
      </w:tr>
      <w:tr w:rsidR="00AA1378" w:rsidRPr="00AA1378" w:rsidTr="00AA1378">
        <w:trPr>
          <w:trHeight w:val="597"/>
        </w:trPr>
        <w:tc>
          <w:tcPr>
            <w:tcW w:w="2269" w:type="dxa"/>
            <w:shd w:val="clear" w:color="auto" w:fill="auto"/>
          </w:tcPr>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r w:rsidRPr="00AA1378">
              <w:rPr>
                <w:rFonts w:ascii="Cambria" w:eastAsia="Times New Roman" w:hAnsi="Cambria" w:cs="Times New Roman"/>
                <w:sz w:val="24"/>
                <w:szCs w:val="24"/>
                <w:lang w:eastAsia="zh-CN"/>
              </w:rPr>
              <w:t>Nisan- 2023</w:t>
            </w:r>
          </w:p>
        </w:tc>
        <w:tc>
          <w:tcPr>
            <w:tcW w:w="1701" w:type="dxa"/>
            <w:shd w:val="clear" w:color="auto" w:fill="auto"/>
          </w:tcPr>
          <w:p w:rsidR="00AA1378" w:rsidRPr="00AA1378" w:rsidRDefault="00AA1378" w:rsidP="00AA1378">
            <w:pPr>
              <w:spacing w:after="0" w:line="360" w:lineRule="auto"/>
              <w:jc w:val="center"/>
              <w:rPr>
                <w:rFonts w:ascii="Cambria" w:eastAsia="Times New Roman" w:hAnsi="Cambria" w:cs="Times New Roman"/>
                <w:sz w:val="24"/>
                <w:szCs w:val="24"/>
                <w:lang w:eastAsia="zh-CN"/>
              </w:rPr>
            </w:pPr>
            <w:r w:rsidRPr="00AA1378">
              <w:rPr>
                <w:rFonts w:ascii="Cambria" w:eastAsia="Times New Roman" w:hAnsi="Cambria" w:cs="Times New Roman"/>
                <w:sz w:val="24"/>
                <w:szCs w:val="24"/>
                <w:lang w:eastAsia="zh-CN"/>
              </w:rPr>
              <w:t>Seminer</w:t>
            </w:r>
          </w:p>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p>
        </w:tc>
        <w:tc>
          <w:tcPr>
            <w:tcW w:w="2976" w:type="dxa"/>
            <w:shd w:val="clear" w:color="auto" w:fill="auto"/>
          </w:tcPr>
          <w:p w:rsidR="00AA1378" w:rsidRPr="00AA1378" w:rsidRDefault="00AA1378" w:rsidP="00AA1378">
            <w:pPr>
              <w:suppressAutoHyphens/>
              <w:spacing w:after="0" w:line="240" w:lineRule="auto"/>
              <w:rPr>
                <w:rFonts w:ascii="Cambria" w:eastAsia="Calibri" w:hAnsi="Cambria" w:cs="Times New Roman"/>
                <w:bCs/>
                <w:sz w:val="24"/>
                <w:szCs w:val="24"/>
              </w:rPr>
            </w:pPr>
            <w:r w:rsidRPr="00AA1378">
              <w:rPr>
                <w:rFonts w:ascii="Cambria" w:eastAsia="SimSun" w:hAnsi="Cambria" w:cs="Times New Roman"/>
                <w:bCs/>
                <w:color w:val="00000A"/>
                <w:sz w:val="24"/>
                <w:szCs w:val="24"/>
                <w:lang w:eastAsia="zh-CN"/>
              </w:rPr>
              <w:t>SOLAREX, EPAM ve AVERE Türkiye,</w:t>
            </w:r>
          </w:p>
        </w:tc>
        <w:tc>
          <w:tcPr>
            <w:tcW w:w="1985" w:type="dxa"/>
            <w:shd w:val="clear" w:color="auto" w:fill="auto"/>
          </w:tcPr>
          <w:p w:rsidR="00AA1378" w:rsidRPr="00AA1378" w:rsidRDefault="00AA1378" w:rsidP="00AA1378">
            <w:pPr>
              <w:spacing w:after="0" w:line="360" w:lineRule="auto"/>
              <w:jc w:val="center"/>
              <w:rPr>
                <w:rFonts w:ascii="Cambria" w:eastAsia="Times New Roman" w:hAnsi="Cambria" w:cs="Times New Roman"/>
                <w:b/>
                <w:bCs/>
                <w:sz w:val="24"/>
                <w:szCs w:val="24"/>
                <w:lang w:val="en-US" w:eastAsia="zh-CN"/>
              </w:rPr>
            </w:pPr>
          </w:p>
        </w:tc>
      </w:tr>
    </w:tbl>
    <w:p w:rsidR="00AA1378" w:rsidRDefault="00AA1378" w:rsidP="007D1A22">
      <w:pPr>
        <w:spacing w:after="0" w:line="300" w:lineRule="exact"/>
        <w:rPr>
          <w:rFonts w:ascii="Cambria" w:eastAsia="Calibri" w:hAnsi="Cambria" w:cs="Times New Roman"/>
          <w:b/>
          <w:color w:val="365F91" w:themeColor="accent1" w:themeShade="BF"/>
          <w:sz w:val="28"/>
          <w:szCs w:val="28"/>
          <w:lang w:eastAsia="tr-TR"/>
        </w:rPr>
      </w:pPr>
    </w:p>
    <w:p w:rsidR="00AA1378" w:rsidRDefault="00AA1378" w:rsidP="007D1A22">
      <w:pPr>
        <w:spacing w:after="0" w:line="300" w:lineRule="exact"/>
        <w:rPr>
          <w:rFonts w:ascii="Cambria" w:eastAsia="Calibri" w:hAnsi="Cambria" w:cs="Times New Roman"/>
          <w:b/>
          <w:color w:val="365F91" w:themeColor="accent1" w:themeShade="BF"/>
          <w:sz w:val="28"/>
          <w:szCs w:val="28"/>
          <w:lang w:eastAsia="tr-TR"/>
        </w:rPr>
      </w:pPr>
    </w:p>
    <w:p w:rsidR="00AA1378" w:rsidRDefault="00AA1378" w:rsidP="007D1A22">
      <w:pPr>
        <w:spacing w:after="0" w:line="300" w:lineRule="exact"/>
        <w:rPr>
          <w:rFonts w:ascii="Cambria" w:eastAsia="Calibri" w:hAnsi="Cambria" w:cs="Times New Roman"/>
          <w:b/>
          <w:color w:val="365F91" w:themeColor="accent1" w:themeShade="BF"/>
          <w:sz w:val="28"/>
          <w:szCs w:val="28"/>
          <w:lang w:eastAsia="tr-TR"/>
        </w:rPr>
      </w:pPr>
    </w:p>
    <w:p w:rsidR="007D1A22" w:rsidRPr="007D1A22" w:rsidRDefault="007D1A22" w:rsidP="007D1A22">
      <w:pPr>
        <w:spacing w:after="0" w:line="300" w:lineRule="exact"/>
        <w:rPr>
          <w:rFonts w:ascii="Trebuchet MS" w:hAnsi="Trebuchet MS"/>
        </w:rPr>
      </w:pPr>
      <w:r>
        <w:rPr>
          <w:rFonts w:ascii="Cambria" w:eastAsia="Calibri" w:hAnsi="Cambria" w:cs="Times New Roman"/>
          <w:b/>
          <w:color w:val="365F91" w:themeColor="accent1" w:themeShade="BF"/>
          <w:sz w:val="28"/>
          <w:szCs w:val="28"/>
          <w:lang w:eastAsia="tr-TR"/>
        </w:rPr>
        <w:t>VII-</w:t>
      </w:r>
      <w:r w:rsidRPr="007D1A22">
        <w:rPr>
          <w:rFonts w:ascii="Cambria" w:eastAsia="Calibri" w:hAnsi="Cambria" w:cs="Times New Roman"/>
          <w:b/>
          <w:color w:val="365F91" w:themeColor="accent1" w:themeShade="BF"/>
          <w:sz w:val="28"/>
          <w:szCs w:val="28"/>
          <w:lang w:eastAsia="tr-TR"/>
        </w:rPr>
        <w:t>MERKEZ AĞIRLIKLI, MERKEZİN KATKISIYLA YAPILAN ÇALIŞMALARA DAYANDIRILARAK YAYIMLANAN BİLİMSEL YAYINLAR</w:t>
      </w:r>
    </w:p>
    <w:p w:rsidR="007D1A22" w:rsidRPr="00FA089E" w:rsidRDefault="007D1A22" w:rsidP="007D1A22">
      <w:pPr>
        <w:spacing w:line="240" w:lineRule="auto"/>
        <w:jc w:val="both"/>
        <w:rPr>
          <w:rFonts w:ascii="Trebuchet MS" w:hAnsi="Trebuchet MS" w:cs="Times New Roman"/>
          <w:lang w:val="en-US"/>
        </w:rPr>
      </w:pPr>
    </w:p>
    <w:p w:rsidR="00416690" w:rsidRPr="006F381B" w:rsidRDefault="006F381B" w:rsidP="006F381B">
      <w:pPr>
        <w:spacing w:line="240" w:lineRule="auto"/>
        <w:rPr>
          <w:rFonts w:ascii="Cambria" w:eastAsia="Calibri" w:hAnsi="Cambria" w:cs="Times New Roman"/>
          <w:b/>
          <w:color w:val="365F91" w:themeColor="accent1" w:themeShade="BF"/>
          <w:sz w:val="24"/>
          <w:szCs w:val="24"/>
          <w:lang w:eastAsia="tr-TR"/>
        </w:rPr>
      </w:pPr>
      <w:r>
        <w:rPr>
          <w:rFonts w:ascii="Cambria" w:eastAsia="Calibri" w:hAnsi="Cambria" w:cs="Times New Roman"/>
          <w:b/>
          <w:color w:val="365F91" w:themeColor="accent1" w:themeShade="BF"/>
          <w:sz w:val="24"/>
          <w:szCs w:val="24"/>
          <w:lang w:eastAsia="tr-TR"/>
        </w:rPr>
        <w:t xml:space="preserve">       </w:t>
      </w:r>
      <w:r w:rsidR="007D1A22" w:rsidRPr="006F381B">
        <w:rPr>
          <w:rFonts w:ascii="Cambria" w:eastAsia="Calibri" w:hAnsi="Cambria" w:cs="Times New Roman"/>
          <w:b/>
          <w:color w:val="365F91" w:themeColor="accent1" w:themeShade="BF"/>
          <w:sz w:val="24"/>
          <w:szCs w:val="24"/>
          <w:lang w:eastAsia="tr-TR"/>
        </w:rPr>
        <w:t>Makale</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DejaVu Sans"/>
          <w:color w:val="00000A"/>
          <w:sz w:val="24"/>
          <w:szCs w:val="24"/>
          <w:lang w:eastAsia="zh-CN"/>
        </w:rPr>
      </w:pPr>
      <w:r w:rsidRPr="007D13B6">
        <w:rPr>
          <w:rFonts w:ascii="Cambria" w:eastAsia="SimSun" w:hAnsi="Cambria" w:cs="DejaVu Sans"/>
          <w:color w:val="00000A"/>
          <w:sz w:val="24"/>
          <w:szCs w:val="24"/>
          <w:lang w:eastAsia="zh-CN"/>
        </w:rPr>
        <w:t>Adaman, F</w:t>
      </w:r>
      <w:proofErr w:type="gramStart"/>
      <w:r w:rsidRPr="007D13B6">
        <w:rPr>
          <w:rFonts w:ascii="Cambria" w:eastAsia="SimSun" w:hAnsi="Cambria" w:cs="DejaVu Sans"/>
          <w:color w:val="00000A"/>
          <w:sz w:val="24"/>
          <w:szCs w:val="24"/>
          <w:lang w:eastAsia="zh-CN"/>
        </w:rPr>
        <w:t>.,</w:t>
      </w:r>
      <w:proofErr w:type="gramEnd"/>
      <w:r w:rsidRPr="007D13B6">
        <w:rPr>
          <w:rFonts w:ascii="Cambria" w:eastAsia="SimSun" w:hAnsi="Cambria" w:cs="DejaVu Sans"/>
          <w:color w:val="00000A"/>
          <w:sz w:val="24"/>
          <w:szCs w:val="24"/>
          <w:lang w:eastAsia="zh-CN"/>
        </w:rPr>
        <w:t xml:space="preserve"> &amp; Devine, P. (2023). Deliberative democracy. In Dictionary of Ecological Economics (pp. 113-114). Edward Elgar Publishing.</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DejaVu Sans"/>
          <w:color w:val="00000A"/>
          <w:sz w:val="24"/>
          <w:szCs w:val="24"/>
          <w:lang w:eastAsia="zh-CN"/>
        </w:rPr>
      </w:pPr>
      <w:r w:rsidRPr="007D13B6">
        <w:rPr>
          <w:rFonts w:ascii="Cambria" w:eastAsia="SimSun" w:hAnsi="Cambria" w:cs="DejaVu Sans"/>
          <w:color w:val="00000A"/>
          <w:sz w:val="24"/>
          <w:szCs w:val="24"/>
          <w:lang w:eastAsia="zh-CN"/>
        </w:rPr>
        <w:t>Avcı, B. C</w:t>
      </w:r>
      <w:proofErr w:type="gramStart"/>
      <w:r w:rsidRPr="007D13B6">
        <w:rPr>
          <w:rFonts w:ascii="Cambria" w:eastAsia="SimSun" w:hAnsi="Cambria" w:cs="DejaVu Sans"/>
          <w:color w:val="00000A"/>
          <w:sz w:val="24"/>
          <w:szCs w:val="24"/>
          <w:lang w:eastAsia="zh-CN"/>
        </w:rPr>
        <w:t>.,</w:t>
      </w:r>
      <w:proofErr w:type="gramEnd"/>
      <w:r w:rsidRPr="007D13B6">
        <w:rPr>
          <w:rFonts w:ascii="Cambria" w:eastAsia="SimSun" w:hAnsi="Cambria" w:cs="DejaVu Sans"/>
          <w:color w:val="00000A"/>
          <w:sz w:val="24"/>
          <w:szCs w:val="24"/>
          <w:lang w:eastAsia="zh-CN"/>
        </w:rPr>
        <w:t xml:space="preserve"> Kesgin, E., Atam, M., &amp; Tan, R. I. (2023). Spatial-Temporal Response of Sediment Loads to Climate Change and Soil Conservation Practices in the Northern Aegean Watershed, Türkiye. Water, 15(13), 2461.</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DejaVu Sans"/>
          <w:color w:val="00000A"/>
          <w:sz w:val="24"/>
          <w:szCs w:val="24"/>
          <w:lang w:eastAsia="zh-CN"/>
        </w:rPr>
      </w:pPr>
      <w:r w:rsidRPr="007D13B6">
        <w:rPr>
          <w:rFonts w:ascii="Cambria" w:eastAsia="SimSun" w:hAnsi="Cambria" w:cs="DejaVu Sans"/>
          <w:color w:val="00000A"/>
          <w:sz w:val="24"/>
          <w:szCs w:val="24"/>
          <w:lang w:eastAsia="zh-CN"/>
        </w:rPr>
        <w:t>Asma, A</w:t>
      </w:r>
      <w:proofErr w:type="gramStart"/>
      <w:r w:rsidRPr="007D13B6">
        <w:rPr>
          <w:rFonts w:ascii="Cambria" w:eastAsia="SimSun" w:hAnsi="Cambria" w:cs="DejaVu Sans"/>
          <w:color w:val="00000A"/>
          <w:sz w:val="24"/>
          <w:szCs w:val="24"/>
          <w:lang w:eastAsia="zh-CN"/>
        </w:rPr>
        <w:t>.,</w:t>
      </w:r>
      <w:proofErr w:type="gramEnd"/>
      <w:r w:rsidRPr="007D13B6">
        <w:rPr>
          <w:rFonts w:ascii="Cambria" w:eastAsia="SimSun" w:hAnsi="Cambria" w:cs="DejaVu Sans"/>
          <w:color w:val="00000A"/>
          <w:sz w:val="24"/>
          <w:szCs w:val="24"/>
          <w:lang w:eastAsia="zh-CN"/>
        </w:rPr>
        <w:t xml:space="preserve"> Altun, E., Bekiloğlu, H. E., Bedir, H., &amp; Anlaş, G. (2023). Steady-state interconnected cycle modeling and experimental results of a lab-scale ORC. Applied Thermal Engineering, 228, 120521.</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DejaVu Sans"/>
          <w:color w:val="00000A"/>
          <w:sz w:val="24"/>
          <w:szCs w:val="24"/>
          <w:lang w:eastAsia="zh-CN"/>
        </w:rPr>
      </w:pPr>
      <w:r w:rsidRPr="007D13B6">
        <w:rPr>
          <w:rFonts w:ascii="Cambria" w:eastAsia="SimSun" w:hAnsi="Cambria" w:cs="DejaVu Sans"/>
          <w:color w:val="00000A"/>
          <w:sz w:val="24"/>
          <w:szCs w:val="24"/>
          <w:lang w:eastAsia="zh-CN"/>
        </w:rPr>
        <w:t>Kokal, U</w:t>
      </w:r>
      <w:proofErr w:type="gramStart"/>
      <w:r w:rsidRPr="007D13B6">
        <w:rPr>
          <w:rFonts w:ascii="Cambria" w:eastAsia="SimSun" w:hAnsi="Cambria" w:cs="DejaVu Sans"/>
          <w:color w:val="00000A"/>
          <w:sz w:val="24"/>
          <w:szCs w:val="24"/>
          <w:lang w:eastAsia="zh-CN"/>
        </w:rPr>
        <w:t>.,</w:t>
      </w:r>
      <w:proofErr w:type="gramEnd"/>
      <w:r w:rsidRPr="007D13B6">
        <w:rPr>
          <w:rFonts w:ascii="Cambria" w:eastAsia="SimSun" w:hAnsi="Cambria" w:cs="DejaVu Sans"/>
          <w:color w:val="00000A"/>
          <w:sz w:val="24"/>
          <w:szCs w:val="24"/>
          <w:lang w:eastAsia="zh-CN"/>
        </w:rPr>
        <w:t xml:space="preserve"> Saridede, E., &amp; Celik, M. (2023). Development and Tests of a Thrust Stand with an In-Situ Null Position Adjustment and Calibration Method for Low Power Plasma Thrusters. Results in Engineering, 101219.</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DejaVu Sans"/>
          <w:color w:val="00000A"/>
          <w:sz w:val="24"/>
          <w:szCs w:val="24"/>
          <w:lang w:eastAsia="zh-CN"/>
        </w:rPr>
        <w:t>Kayatas, E</w:t>
      </w:r>
      <w:proofErr w:type="gramStart"/>
      <w:r w:rsidRPr="007D13B6">
        <w:rPr>
          <w:rFonts w:ascii="Cambria" w:eastAsia="SimSun" w:hAnsi="Cambria" w:cs="DejaVu Sans"/>
          <w:color w:val="00000A"/>
          <w:sz w:val="24"/>
          <w:szCs w:val="24"/>
          <w:lang w:eastAsia="zh-CN"/>
        </w:rPr>
        <w:t>.,</w:t>
      </w:r>
      <w:proofErr w:type="gramEnd"/>
      <w:r w:rsidRPr="007D13B6">
        <w:rPr>
          <w:rFonts w:ascii="Cambria" w:eastAsia="SimSun" w:hAnsi="Cambria" w:cs="DejaVu Sans"/>
          <w:color w:val="00000A"/>
          <w:sz w:val="24"/>
          <w:szCs w:val="24"/>
          <w:lang w:eastAsia="zh-CN"/>
        </w:rPr>
        <w:t xml:space="preserve"> &amp; Celik, M. (2023). The effects of dihedral angle on hover rigidity and planar maneuvers in rotary-wing UAVs. Aircraft Engineering and Aerospace Technology, 95(7), 1029-1036.</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Saridede, E</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Yediyildiz, S., &amp; Celik, M. (2023). Experimental Investigation of the CFHT-27 Cusped-Field Hall Thruster Performance. Journal of Aerospace Technology and Management, 15, e0523.</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lastRenderedPageBreak/>
        <w:t>Zeng, G</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Zhong, W., Chaussy, C. G., Tiselius, H. G., Xu, C., Turney, B., ... &amp; Sarica, K. (2023). International alliance of urolithiasis guideline on shockwave lithotripsy. European Urology Focus, 9(3), 513-523.</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Sarıca, K</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Harputlugil, G. U., İnaner, G., &amp; Kollugil, E. T. (2023). Building sector emission reduction assessment from a developing European economy: A bottom-up modelling approach. Energy Policy, 174, 113429.</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Eroldoğan, O. T</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Glencross, B., Novoveska, L., Gaudêncio, S. P., Rinkevich, B., Varese, G. C., ... &amp; Rotter, A. (2023). From the sea to aquafeed: A perspective overview. Reviews in Aquaculture, 15(3), 1028-1057.</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Boğa, M</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Avci, B. C., Kiliç, H. N., &amp; Filik, A. G. (2023). Determination of nutrient content and digestibility of some leguminous tree leaves as alternative feed sources.</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Tufan Turp, M</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An, N., Demiralay, Z., Cem Avcı, B., &amp; Kurnaz, M. L. (2023, May). Analysis of Projected Changes in Seasonal Precipitation.</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Baykal, G</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Evranos, O. B., Ozdemir, M., Bostancı, B., Burcak, P. Ş., Topaloglu, O., ... &amp; Cakir, B. (2023, May). Selective Arterial Calcium Stimulation Test In Two Cases With Occult Insulinoma. In </w:t>
      </w:r>
      <w:r w:rsidRPr="007D13B6">
        <w:rPr>
          <w:rFonts w:ascii="Cambria" w:eastAsia="SimSun" w:hAnsi="Cambria" w:cs="Times New Roman"/>
          <w:i/>
          <w:iCs/>
          <w:sz w:val="24"/>
          <w:szCs w:val="24"/>
          <w:lang w:eastAsia="zh-CN"/>
        </w:rPr>
        <w:t>Endocrine Abstracts</w:t>
      </w:r>
      <w:r w:rsidRPr="007D13B6">
        <w:rPr>
          <w:rFonts w:ascii="Cambria" w:eastAsia="SimSun" w:hAnsi="Cambria" w:cs="Times New Roman"/>
          <w:sz w:val="24"/>
          <w:szCs w:val="24"/>
          <w:lang w:eastAsia="zh-CN"/>
        </w:rPr>
        <w:t> (Vol. 90). Bioscientifica.</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Copuroğlu, E</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Baykal, G., Dibeklioğlu, B., Nasiroglu, I. N., Dirikoc, A., Topaloglu, O., ... &amp; Cakir, B. (2023, May). Graves. In </w:t>
      </w:r>
      <w:r w:rsidRPr="007D13B6">
        <w:rPr>
          <w:rFonts w:ascii="Cambria" w:eastAsia="SimSun" w:hAnsi="Cambria" w:cs="Times New Roman"/>
          <w:i/>
          <w:iCs/>
          <w:sz w:val="24"/>
          <w:szCs w:val="24"/>
          <w:lang w:eastAsia="zh-CN"/>
        </w:rPr>
        <w:t>Endocrine Abstracts</w:t>
      </w:r>
      <w:r w:rsidRPr="007D13B6">
        <w:rPr>
          <w:rFonts w:ascii="Cambria" w:eastAsia="SimSun" w:hAnsi="Cambria" w:cs="Times New Roman"/>
          <w:sz w:val="24"/>
          <w:szCs w:val="24"/>
          <w:lang w:eastAsia="zh-CN"/>
        </w:rPr>
        <w:t> (Vol. 90). Bioscientifica.</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Şengönül, H</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&amp; Demircan, O. (2023). Synthesis and Characterization of Fe3O4 Nanoparticles Using Prunus serrulata Leaf Extract. </w:t>
      </w:r>
      <w:r w:rsidRPr="007D13B6">
        <w:rPr>
          <w:rFonts w:ascii="Cambria" w:eastAsia="SimSun" w:hAnsi="Cambria" w:cs="Times New Roman"/>
          <w:i/>
          <w:iCs/>
          <w:sz w:val="24"/>
          <w:szCs w:val="24"/>
          <w:lang w:eastAsia="zh-CN"/>
        </w:rPr>
        <w:t>BioNanoScience</w:t>
      </w:r>
      <w:r w:rsidRPr="007D13B6">
        <w:rPr>
          <w:rFonts w:ascii="Cambria" w:eastAsia="SimSun" w:hAnsi="Cambria" w:cs="Times New Roman"/>
          <w:sz w:val="24"/>
          <w:szCs w:val="24"/>
          <w:lang w:eastAsia="zh-CN"/>
        </w:rPr>
        <w:t>, </w:t>
      </w:r>
      <w:r w:rsidRPr="007D13B6">
        <w:rPr>
          <w:rFonts w:ascii="Cambria" w:eastAsia="SimSun" w:hAnsi="Cambria" w:cs="Times New Roman"/>
          <w:i/>
          <w:iCs/>
          <w:sz w:val="24"/>
          <w:szCs w:val="24"/>
          <w:lang w:eastAsia="zh-CN"/>
        </w:rPr>
        <w:t>13</w:t>
      </w:r>
      <w:r w:rsidRPr="007D13B6">
        <w:rPr>
          <w:rFonts w:ascii="Cambria" w:eastAsia="SimSun" w:hAnsi="Cambria" w:cs="Times New Roman"/>
          <w:sz w:val="24"/>
          <w:szCs w:val="24"/>
          <w:lang w:eastAsia="zh-CN"/>
        </w:rPr>
        <w:t>(4), 1944-1954.</w:t>
      </w:r>
    </w:p>
    <w:p w:rsidR="007D13B6" w:rsidRP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Icagasioglu Simsek, E</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Haznedaroglu, B. Z., Civelek, I., &amp; Bilgin, R. Transcriptional Responses to Long-Term Salinity Stress and Acclimation in the Black Mussel, Mytilus Galloprovincialis. </w:t>
      </w:r>
      <w:r w:rsidRPr="007D13B6">
        <w:rPr>
          <w:rFonts w:ascii="Cambria" w:eastAsia="SimSun" w:hAnsi="Cambria" w:cs="Times New Roman"/>
          <w:i/>
          <w:iCs/>
          <w:sz w:val="24"/>
          <w:szCs w:val="24"/>
          <w:lang w:eastAsia="zh-CN"/>
        </w:rPr>
        <w:t>Mytilus Galloprovincialis</w:t>
      </w:r>
      <w:r w:rsidRPr="007D13B6">
        <w:rPr>
          <w:rFonts w:ascii="Cambria" w:eastAsia="SimSun" w:hAnsi="Cambria" w:cs="Times New Roman"/>
          <w:sz w:val="24"/>
          <w:szCs w:val="24"/>
          <w:lang w:eastAsia="zh-CN"/>
        </w:rPr>
        <w:t>.</w:t>
      </w:r>
    </w:p>
    <w:p w:rsidR="007D13B6" w:rsidRDefault="007D13B6" w:rsidP="007D13B6">
      <w:pPr>
        <w:numPr>
          <w:ilvl w:val="2"/>
          <w:numId w:val="23"/>
        </w:numPr>
        <w:suppressAutoHyphens/>
        <w:spacing w:after="0" w:line="240" w:lineRule="auto"/>
        <w:ind w:left="742" w:hanging="742"/>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Sakarya, F. K</w:t>
      </w:r>
      <w:proofErr w:type="gramStart"/>
      <w:r w:rsidRPr="007D13B6">
        <w:rPr>
          <w:rFonts w:ascii="Cambria" w:eastAsia="SimSun" w:hAnsi="Cambria" w:cs="Times New Roman"/>
          <w:sz w:val="24"/>
          <w:szCs w:val="24"/>
          <w:lang w:eastAsia="zh-CN"/>
        </w:rPr>
        <w:t>.,</w:t>
      </w:r>
      <w:proofErr w:type="gramEnd"/>
      <w:r w:rsidRPr="007D13B6">
        <w:rPr>
          <w:rFonts w:ascii="Cambria" w:eastAsia="SimSun" w:hAnsi="Cambria" w:cs="Times New Roman"/>
          <w:sz w:val="24"/>
          <w:szCs w:val="24"/>
          <w:lang w:eastAsia="zh-CN"/>
        </w:rPr>
        <w:t xml:space="preserve"> Ertekin, E., &amp; Haznedaroglu, B. Z. (2023). Algae-Based Treatment of Domestic and Industrial Wastewater. In </w:t>
      </w:r>
      <w:r w:rsidRPr="007D13B6">
        <w:rPr>
          <w:rFonts w:ascii="Cambria" w:eastAsia="SimSun" w:hAnsi="Cambria" w:cs="Times New Roman"/>
          <w:i/>
          <w:iCs/>
          <w:sz w:val="24"/>
          <w:szCs w:val="24"/>
          <w:lang w:eastAsia="zh-CN"/>
        </w:rPr>
        <w:t>A Sustainable Green Future: Perspectives on Energy, Economy, Industry, Cities and Environment</w:t>
      </w:r>
      <w:r w:rsidRPr="007D13B6">
        <w:rPr>
          <w:rFonts w:ascii="Cambria" w:eastAsia="SimSun" w:hAnsi="Cambria" w:cs="Times New Roman"/>
          <w:sz w:val="24"/>
          <w:szCs w:val="24"/>
          <w:lang w:eastAsia="zh-CN"/>
        </w:rPr>
        <w:t> (pp. 409-428). Cham: Springer International Publishing.</w:t>
      </w:r>
    </w:p>
    <w:p w:rsidR="007D13B6" w:rsidRPr="007D13B6" w:rsidRDefault="007D13B6" w:rsidP="007D13B6">
      <w:pPr>
        <w:suppressAutoHyphens/>
        <w:spacing w:after="0" w:line="240" w:lineRule="auto"/>
        <w:ind w:left="742"/>
        <w:contextualSpacing/>
        <w:jc w:val="both"/>
        <w:rPr>
          <w:rFonts w:ascii="Cambria" w:eastAsia="SimSun" w:hAnsi="Cambria" w:cs="Times New Roman"/>
          <w:sz w:val="24"/>
          <w:szCs w:val="24"/>
          <w:lang w:eastAsia="zh-CN"/>
        </w:rPr>
      </w:pPr>
    </w:p>
    <w:p w:rsidR="007D13B6" w:rsidRPr="007D13B6" w:rsidRDefault="007D13B6" w:rsidP="007D13B6">
      <w:pPr>
        <w:suppressAutoHyphens/>
        <w:spacing w:after="0" w:line="240" w:lineRule="auto"/>
        <w:contextualSpacing/>
        <w:jc w:val="both"/>
        <w:rPr>
          <w:rFonts w:ascii="Trebuchet MS" w:eastAsia="SimSun" w:hAnsi="Trebuchet MS" w:cs="Times New Roman"/>
          <w:lang w:eastAsia="zh-CN"/>
        </w:rPr>
      </w:pPr>
    </w:p>
    <w:p w:rsidR="00EA3BE2" w:rsidRDefault="00D23F84" w:rsidP="002C226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9410F6">
        <w:rPr>
          <w:rFonts w:ascii="Cambria" w:eastAsia="Calibri" w:hAnsi="Cambria" w:cs="Times New Roman"/>
          <w:b/>
          <w:color w:val="365F91" w:themeColor="accent1" w:themeShade="BF"/>
          <w:sz w:val="28"/>
          <w:szCs w:val="28"/>
          <w:lang w:eastAsia="tr-TR"/>
        </w:rPr>
        <w:t>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F54941">
        <w:rPr>
          <w:rFonts w:ascii="Cambria" w:eastAsia="Calibri" w:hAnsi="Cambria" w:cs="Times New Roman"/>
          <w:b/>
          <w:color w:val="365F91" w:themeColor="accent1" w:themeShade="BF"/>
          <w:sz w:val="28"/>
          <w:szCs w:val="28"/>
          <w:lang w:eastAsia="tr-TR"/>
        </w:rPr>
        <w:t>2</w:t>
      </w:r>
      <w:r w:rsidR="007D13B6">
        <w:rPr>
          <w:rFonts w:ascii="Cambria" w:eastAsia="Calibri" w:hAnsi="Cambria" w:cs="Times New Roman"/>
          <w:b/>
          <w:color w:val="365F91" w:themeColor="accent1" w:themeShade="BF"/>
          <w:sz w:val="28"/>
          <w:szCs w:val="28"/>
          <w:lang w:eastAsia="tr-TR"/>
        </w:rPr>
        <w:t>4</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9939ED" w:rsidRPr="009939ED" w:rsidRDefault="009939ED" w:rsidP="00EA3BE2">
      <w:pPr>
        <w:spacing w:after="0" w:line="300" w:lineRule="exact"/>
        <w:rPr>
          <w:rFonts w:ascii="Trebuchet MS" w:hAnsi="Trebuchet MS"/>
          <w:b/>
          <w:sz w:val="20"/>
          <w:szCs w:val="20"/>
        </w:rPr>
      </w:pPr>
    </w:p>
    <w:p w:rsidR="007B1AAA" w:rsidRDefault="00F50C5B" w:rsidP="00EA3BE2">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F638C7" w:rsidRPr="00F37220" w:rsidRDefault="00F638C7" w:rsidP="00EA3BE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5F70C3" w:rsidRPr="00FA089E" w:rsidTr="005F70C3">
        <w:trPr>
          <w:trHeight w:val="567"/>
        </w:trPr>
        <w:tc>
          <w:tcPr>
            <w:tcW w:w="4111"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Kriterler</w:t>
            </w:r>
          </w:p>
        </w:tc>
        <w:tc>
          <w:tcPr>
            <w:tcW w:w="1985"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Sayısal Hedef</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Disiplinlerarası çalıştay</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Doktora mezunu</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Uluslararası endeksli dergilerde makale</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10</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Bildiri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Üniversite dışı araştırma desteği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500.000 TL</w:t>
            </w:r>
          </w:p>
        </w:tc>
      </w:tr>
    </w:tbl>
    <w:p w:rsidR="00C84F26" w:rsidRDefault="00C84F26" w:rsidP="00EA3BE2">
      <w:pPr>
        <w:tabs>
          <w:tab w:val="left" w:pos="2835"/>
        </w:tabs>
        <w:spacing w:after="0" w:line="300" w:lineRule="exact"/>
        <w:contextualSpacing/>
        <w:rPr>
          <w:rFonts w:asciiTheme="majorHAnsi" w:hAnsiTheme="majorHAnsi"/>
          <w:lang w:eastAsia="ko-KR"/>
        </w:rPr>
      </w:pPr>
    </w:p>
    <w:p w:rsidR="007D13B6" w:rsidRDefault="007D13B6" w:rsidP="00EA3BE2">
      <w:pPr>
        <w:tabs>
          <w:tab w:val="left" w:pos="2835"/>
        </w:tabs>
        <w:spacing w:after="0" w:line="300" w:lineRule="exact"/>
        <w:contextualSpacing/>
        <w:rPr>
          <w:rFonts w:asciiTheme="majorHAnsi" w:hAnsiTheme="majorHAnsi"/>
          <w:lang w:eastAsia="ko-KR"/>
        </w:rPr>
      </w:pPr>
    </w:p>
    <w:p w:rsidR="007D13B6" w:rsidRDefault="007D13B6" w:rsidP="00EA3BE2">
      <w:pPr>
        <w:tabs>
          <w:tab w:val="left" w:pos="2835"/>
        </w:tabs>
        <w:spacing w:after="0" w:line="300" w:lineRule="exact"/>
        <w:contextualSpacing/>
        <w:rPr>
          <w:rFonts w:asciiTheme="majorHAnsi" w:hAnsiTheme="majorHAnsi"/>
          <w:lang w:eastAsia="ko-KR"/>
        </w:rPr>
      </w:pPr>
    </w:p>
    <w:p w:rsidR="007D13B6" w:rsidRDefault="007D13B6" w:rsidP="00EA3BE2">
      <w:pPr>
        <w:tabs>
          <w:tab w:val="left" w:pos="2835"/>
        </w:tabs>
        <w:spacing w:after="0" w:line="300" w:lineRule="exact"/>
        <w:contextualSpacing/>
        <w:rPr>
          <w:rFonts w:asciiTheme="majorHAnsi" w:hAnsiTheme="majorHAnsi"/>
          <w:lang w:eastAsia="ko-KR"/>
        </w:rPr>
      </w:pPr>
    </w:p>
    <w:p w:rsidR="007D13B6" w:rsidRPr="00D77092" w:rsidRDefault="007D13B6" w:rsidP="00EA3BE2">
      <w:pPr>
        <w:tabs>
          <w:tab w:val="left" w:pos="2835"/>
        </w:tabs>
        <w:spacing w:after="0" w:line="300" w:lineRule="exact"/>
        <w:contextualSpacing/>
        <w:rPr>
          <w:rFonts w:asciiTheme="majorHAnsi" w:hAnsiTheme="majorHAnsi"/>
          <w:lang w:eastAsia="ko-KR"/>
        </w:rPr>
      </w:pPr>
    </w:p>
    <w:p w:rsidR="00F54941" w:rsidRDefault="009410F6" w:rsidP="00F54941">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F54941">
        <w:rPr>
          <w:rFonts w:ascii="Cambria" w:eastAsia="Calibri" w:hAnsi="Cambria" w:cs="Times New Roman"/>
          <w:b/>
          <w:color w:val="365F91" w:themeColor="accent1" w:themeShade="BF"/>
          <w:sz w:val="28"/>
          <w:szCs w:val="28"/>
          <w:lang w:eastAsia="tr-TR"/>
        </w:rPr>
        <w:t>-</w:t>
      </w:r>
      <w:r w:rsidR="00F54941" w:rsidRPr="00F54941">
        <w:rPr>
          <w:rFonts w:ascii="Cambria" w:eastAsia="Calibri" w:hAnsi="Cambria" w:cs="Times New Roman"/>
          <w:b/>
          <w:color w:val="365F91" w:themeColor="accent1" w:themeShade="BF"/>
          <w:sz w:val="28"/>
          <w:szCs w:val="28"/>
          <w:lang w:eastAsia="tr-TR"/>
        </w:rPr>
        <w:t>ÖZDEĞERLENDİRME</w:t>
      </w:r>
    </w:p>
    <w:p w:rsidR="002E758C" w:rsidRDefault="002E758C" w:rsidP="002E758C">
      <w:pPr>
        <w:pStyle w:val="ListeParagraf"/>
        <w:spacing w:before="60" w:line="240" w:lineRule="auto"/>
        <w:ind w:left="0"/>
        <w:jc w:val="both"/>
        <w:rPr>
          <w:rFonts w:ascii="Cambria" w:eastAsia="Calibri" w:hAnsi="Cambria" w:cs="Times New Roman"/>
          <w:b/>
          <w:color w:val="365F91" w:themeColor="accent1" w:themeShade="BF"/>
          <w:sz w:val="28"/>
          <w:szCs w:val="28"/>
          <w:lang w:eastAsia="tr-TR"/>
        </w:rPr>
      </w:pPr>
    </w:p>
    <w:p w:rsidR="007D13B6" w:rsidRPr="007D13B6" w:rsidRDefault="007D13B6" w:rsidP="007D13B6">
      <w:pPr>
        <w:suppressAutoHyphens/>
        <w:spacing w:before="60" w:after="0" w:line="240" w:lineRule="auto"/>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EPAM, Enerji Politikaları Araştırma ve Uygulama Merkezinin kuruluşu 18 Aralık 2014 tarih ve 29209 Sayılı Resmi Gazete’de yayınlanan Yönetmelik ile birlikte resmileşmiştir. EPAM’ın amacı Türkiye’de Enerji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p>
    <w:p w:rsidR="007D13B6" w:rsidRPr="007D13B6" w:rsidRDefault="007D13B6" w:rsidP="007D13B6">
      <w:pPr>
        <w:suppressAutoHyphens/>
        <w:spacing w:before="60" w:after="0" w:line="240" w:lineRule="auto"/>
        <w:contextualSpacing/>
        <w:jc w:val="both"/>
        <w:rPr>
          <w:rFonts w:ascii="Cambria" w:eastAsia="SimSun" w:hAnsi="Cambria" w:cs="Times New Roman"/>
          <w:sz w:val="24"/>
          <w:szCs w:val="24"/>
          <w:lang w:eastAsia="zh-CN"/>
        </w:rPr>
      </w:pPr>
    </w:p>
    <w:p w:rsidR="007D13B6" w:rsidRPr="007D13B6" w:rsidRDefault="007D13B6" w:rsidP="007D13B6">
      <w:pPr>
        <w:suppressAutoHyphens/>
        <w:spacing w:before="60" w:after="0" w:line="240" w:lineRule="auto"/>
        <w:contextualSpacing/>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EPAM 2024 senesinde Boğaziçinde yapılacak olan IAEE 2024 konferansında destek olmaktadır. Bu konuda hem Üniversitemizin hemde IAEE 2024 bünyesinde hizmet verebilecektir. Aynı zamanda 6550 Finans Merkezi kurulumu hazırlıklarında önemli bir yer almıştır. 6550 Finans Merkezi 2024 senesinde onaylama yönünde önemli yer alacaktır. 2024 yılında iklim değişikliği ve enerji etkileşimi konularında hem kitap hem de döner sermaye kapsamında çalışmalar yürütütecektir.</w:t>
      </w:r>
    </w:p>
    <w:p w:rsidR="007D13B6" w:rsidRPr="007D13B6" w:rsidRDefault="007D13B6" w:rsidP="007D13B6">
      <w:pPr>
        <w:suppressAutoHyphens/>
        <w:spacing w:after="0" w:line="360" w:lineRule="auto"/>
        <w:jc w:val="both"/>
        <w:rPr>
          <w:rFonts w:ascii="Cambria" w:eastAsia="SimSun" w:hAnsi="Cambria" w:cs="Times New Roman"/>
          <w:sz w:val="24"/>
          <w:szCs w:val="24"/>
          <w:lang w:eastAsia="zh-CN"/>
        </w:rPr>
      </w:pPr>
      <w:r w:rsidRPr="007D13B6">
        <w:rPr>
          <w:rFonts w:ascii="Cambria" w:eastAsia="SimSun" w:hAnsi="Cambria" w:cs="Times New Roman"/>
          <w:sz w:val="24"/>
          <w:szCs w:val="24"/>
          <w:lang w:eastAsia="zh-CN"/>
        </w:rPr>
        <w:t xml:space="preserve"> </w:t>
      </w:r>
    </w:p>
    <w:p w:rsidR="00F54941" w:rsidRPr="007D13B6" w:rsidRDefault="00F54941" w:rsidP="007663AB">
      <w:pPr>
        <w:pStyle w:val="ListeParagraf"/>
        <w:spacing w:after="0" w:line="300" w:lineRule="exact"/>
        <w:ind w:left="425"/>
        <w:jc w:val="both"/>
        <w:rPr>
          <w:rFonts w:ascii="Cambria" w:hAnsi="Cambria"/>
          <w:sz w:val="24"/>
          <w:szCs w:val="24"/>
          <w:lang w:eastAsia="ko-KR"/>
        </w:rPr>
      </w:pPr>
    </w:p>
    <w:p w:rsidR="00E84285" w:rsidRPr="007D13B6" w:rsidRDefault="00E84285" w:rsidP="007663AB">
      <w:pPr>
        <w:autoSpaceDE w:val="0"/>
        <w:autoSpaceDN w:val="0"/>
        <w:adjustRightInd w:val="0"/>
        <w:spacing w:after="0" w:line="300" w:lineRule="exact"/>
        <w:jc w:val="both"/>
        <w:rPr>
          <w:rFonts w:ascii="Cambria" w:hAnsi="Cambria"/>
          <w:sz w:val="24"/>
          <w:szCs w:val="24"/>
          <w:lang w:eastAsia="ko-KR"/>
        </w:rPr>
      </w:pPr>
    </w:p>
    <w:p w:rsidR="007663AB" w:rsidRPr="007D13B6" w:rsidRDefault="007663AB">
      <w:pPr>
        <w:autoSpaceDE w:val="0"/>
        <w:autoSpaceDN w:val="0"/>
        <w:adjustRightInd w:val="0"/>
        <w:spacing w:after="0" w:line="300" w:lineRule="exact"/>
        <w:jc w:val="both"/>
        <w:rPr>
          <w:rFonts w:ascii="Cambria" w:hAnsi="Cambria"/>
          <w:sz w:val="24"/>
          <w:szCs w:val="24"/>
          <w:lang w:eastAsia="ko-KR"/>
        </w:rPr>
      </w:pPr>
    </w:p>
    <w:sectPr w:rsidR="007663AB" w:rsidRPr="007D13B6"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90F" w:rsidRDefault="00E1190F" w:rsidP="00D9381D">
      <w:pPr>
        <w:spacing w:after="0" w:line="240" w:lineRule="auto"/>
      </w:pPr>
      <w:r>
        <w:separator/>
      </w:r>
    </w:p>
  </w:endnote>
  <w:endnote w:type="continuationSeparator" w:id="0">
    <w:p w:rsidR="00E1190F" w:rsidRDefault="00E1190F"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90F" w:rsidRDefault="00E1190F" w:rsidP="00D9381D">
      <w:pPr>
        <w:spacing w:after="0" w:line="240" w:lineRule="auto"/>
      </w:pPr>
      <w:r>
        <w:separator/>
      </w:r>
    </w:p>
  </w:footnote>
  <w:footnote w:type="continuationSeparator" w:id="0">
    <w:p w:rsidR="00E1190F" w:rsidRDefault="00E1190F"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E562A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562AB" w:rsidRDefault="00E562A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Enerji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E562AB" w:rsidRDefault="00E562AB" w:rsidP="00CE7C85">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9F71F6">
                <w:rPr>
                  <w:b/>
                  <w:color w:val="808080" w:themeColor="background1" w:themeShade="80"/>
                  <w:sz w:val="24"/>
                  <w:szCs w:val="24"/>
                </w:rPr>
                <w:t>23</w:t>
              </w:r>
            </w:p>
          </w:tc>
        </w:sdtContent>
      </w:sdt>
    </w:tr>
  </w:tbl>
  <w:p w:rsidR="00E562AB" w:rsidRDefault="00E562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0486C3C"/>
    <w:multiLevelType w:val="hybridMultilevel"/>
    <w:tmpl w:val="0CAC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956E5"/>
    <w:multiLevelType w:val="hybridMultilevel"/>
    <w:tmpl w:val="CAFA543C"/>
    <w:lvl w:ilvl="0" w:tplc="D8CC9D98">
      <w:start w:val="6"/>
      <w:numFmt w:val="upperRoman"/>
      <w:lvlText w:val="%1."/>
      <w:lvlJc w:val="left"/>
      <w:pPr>
        <w:ind w:left="90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540BE"/>
    <w:multiLevelType w:val="hybridMultilevel"/>
    <w:tmpl w:val="F53A6DFA"/>
    <w:lvl w:ilvl="0" w:tplc="0409000F">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5562E7"/>
    <w:multiLevelType w:val="hybridMultilevel"/>
    <w:tmpl w:val="1B0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51567"/>
    <w:multiLevelType w:val="hybridMultilevel"/>
    <w:tmpl w:val="689E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3" w15:restartNumberingAfterBreak="0">
    <w:nsid w:val="751E461B"/>
    <w:multiLevelType w:val="hybridMultilevel"/>
    <w:tmpl w:val="898AD91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5"/>
  </w:num>
  <w:num w:numId="3">
    <w:abstractNumId w:val="9"/>
  </w:num>
  <w:num w:numId="4">
    <w:abstractNumId w:val="4"/>
  </w:num>
  <w:num w:numId="5">
    <w:abstractNumId w:val="24"/>
  </w:num>
  <w:num w:numId="6">
    <w:abstractNumId w:val="18"/>
  </w:num>
  <w:num w:numId="7">
    <w:abstractNumId w:val="15"/>
  </w:num>
  <w:num w:numId="8">
    <w:abstractNumId w:val="10"/>
  </w:num>
  <w:num w:numId="9">
    <w:abstractNumId w:val="22"/>
  </w:num>
  <w:num w:numId="10">
    <w:abstractNumId w:val="1"/>
  </w:num>
  <w:num w:numId="11">
    <w:abstractNumId w:val="19"/>
  </w:num>
  <w:num w:numId="12">
    <w:abstractNumId w:val="16"/>
  </w:num>
  <w:num w:numId="13">
    <w:abstractNumId w:val="14"/>
  </w:num>
  <w:num w:numId="14">
    <w:abstractNumId w:val="17"/>
  </w:num>
  <w:num w:numId="15">
    <w:abstractNumId w:val="12"/>
  </w:num>
  <w:num w:numId="16">
    <w:abstractNumId w:val="8"/>
  </w:num>
  <w:num w:numId="17">
    <w:abstractNumId w:val="11"/>
  </w:num>
  <w:num w:numId="18">
    <w:abstractNumId w:val="5"/>
  </w:num>
  <w:num w:numId="19">
    <w:abstractNumId w:val="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3"/>
  </w:num>
  <w:num w:numId="24">
    <w:abstractNumId w:val="7"/>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1410"/>
    <w:rsid w:val="00001EE6"/>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56FE"/>
    <w:rsid w:val="0002641F"/>
    <w:rsid w:val="0002747D"/>
    <w:rsid w:val="00027BEB"/>
    <w:rsid w:val="00027C2F"/>
    <w:rsid w:val="00030830"/>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4C32"/>
    <w:rsid w:val="000A6E7F"/>
    <w:rsid w:val="000A79A0"/>
    <w:rsid w:val="000B005A"/>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26B"/>
    <w:rsid w:val="00103979"/>
    <w:rsid w:val="00103A39"/>
    <w:rsid w:val="00106F2C"/>
    <w:rsid w:val="00114E93"/>
    <w:rsid w:val="00121071"/>
    <w:rsid w:val="001221D1"/>
    <w:rsid w:val="00122FFC"/>
    <w:rsid w:val="00124E27"/>
    <w:rsid w:val="00125B29"/>
    <w:rsid w:val="001262F6"/>
    <w:rsid w:val="00126DB4"/>
    <w:rsid w:val="0013058D"/>
    <w:rsid w:val="00133E65"/>
    <w:rsid w:val="00140178"/>
    <w:rsid w:val="00143EA3"/>
    <w:rsid w:val="00145601"/>
    <w:rsid w:val="001519AE"/>
    <w:rsid w:val="001548FD"/>
    <w:rsid w:val="00154952"/>
    <w:rsid w:val="00154DD8"/>
    <w:rsid w:val="00155685"/>
    <w:rsid w:val="001573D9"/>
    <w:rsid w:val="0016014C"/>
    <w:rsid w:val="0016057D"/>
    <w:rsid w:val="001635A5"/>
    <w:rsid w:val="001659C1"/>
    <w:rsid w:val="00167E33"/>
    <w:rsid w:val="00170172"/>
    <w:rsid w:val="00171240"/>
    <w:rsid w:val="00171500"/>
    <w:rsid w:val="00172F13"/>
    <w:rsid w:val="00173C63"/>
    <w:rsid w:val="00174DDB"/>
    <w:rsid w:val="001770EC"/>
    <w:rsid w:val="0017782C"/>
    <w:rsid w:val="00180020"/>
    <w:rsid w:val="001803BA"/>
    <w:rsid w:val="001811D2"/>
    <w:rsid w:val="00182F67"/>
    <w:rsid w:val="00185230"/>
    <w:rsid w:val="00185F00"/>
    <w:rsid w:val="0019168B"/>
    <w:rsid w:val="00191B0B"/>
    <w:rsid w:val="00192530"/>
    <w:rsid w:val="0019349B"/>
    <w:rsid w:val="00197309"/>
    <w:rsid w:val="001A0DA7"/>
    <w:rsid w:val="001A58CA"/>
    <w:rsid w:val="001A769F"/>
    <w:rsid w:val="001B0FD7"/>
    <w:rsid w:val="001B3A74"/>
    <w:rsid w:val="001B56DB"/>
    <w:rsid w:val="001B64B8"/>
    <w:rsid w:val="001B7F8B"/>
    <w:rsid w:val="001C13BE"/>
    <w:rsid w:val="001C3176"/>
    <w:rsid w:val="001C32B6"/>
    <w:rsid w:val="001C48E0"/>
    <w:rsid w:val="001C57B5"/>
    <w:rsid w:val="001C6E22"/>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99F"/>
    <w:rsid w:val="00287D31"/>
    <w:rsid w:val="0029239A"/>
    <w:rsid w:val="0029310B"/>
    <w:rsid w:val="002940B2"/>
    <w:rsid w:val="002A02BD"/>
    <w:rsid w:val="002A0F81"/>
    <w:rsid w:val="002A19BE"/>
    <w:rsid w:val="002A6AD6"/>
    <w:rsid w:val="002B0077"/>
    <w:rsid w:val="002B17EF"/>
    <w:rsid w:val="002B30B7"/>
    <w:rsid w:val="002B5AA5"/>
    <w:rsid w:val="002B7276"/>
    <w:rsid w:val="002B7413"/>
    <w:rsid w:val="002C0C4F"/>
    <w:rsid w:val="002C226B"/>
    <w:rsid w:val="002C3DB7"/>
    <w:rsid w:val="002C3E05"/>
    <w:rsid w:val="002C51C0"/>
    <w:rsid w:val="002C6AB0"/>
    <w:rsid w:val="002C7307"/>
    <w:rsid w:val="002C791C"/>
    <w:rsid w:val="002D3212"/>
    <w:rsid w:val="002D5CCD"/>
    <w:rsid w:val="002D6349"/>
    <w:rsid w:val="002E006E"/>
    <w:rsid w:val="002E1994"/>
    <w:rsid w:val="002E41DC"/>
    <w:rsid w:val="002E43DA"/>
    <w:rsid w:val="002E758C"/>
    <w:rsid w:val="002F02E1"/>
    <w:rsid w:val="002F2D96"/>
    <w:rsid w:val="002F32EF"/>
    <w:rsid w:val="002F4AE7"/>
    <w:rsid w:val="002F5625"/>
    <w:rsid w:val="002F77DE"/>
    <w:rsid w:val="003025F9"/>
    <w:rsid w:val="003038EA"/>
    <w:rsid w:val="00303CC9"/>
    <w:rsid w:val="003049CC"/>
    <w:rsid w:val="00304B14"/>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6690"/>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85BBE"/>
    <w:rsid w:val="00490AF5"/>
    <w:rsid w:val="00496543"/>
    <w:rsid w:val="004A1BC4"/>
    <w:rsid w:val="004A5711"/>
    <w:rsid w:val="004A7650"/>
    <w:rsid w:val="004B011A"/>
    <w:rsid w:val="004B1722"/>
    <w:rsid w:val="004B28D1"/>
    <w:rsid w:val="004B4BFD"/>
    <w:rsid w:val="004B783A"/>
    <w:rsid w:val="004C21B1"/>
    <w:rsid w:val="004D0C9D"/>
    <w:rsid w:val="004D311C"/>
    <w:rsid w:val="004D536E"/>
    <w:rsid w:val="004D559F"/>
    <w:rsid w:val="004D7CC9"/>
    <w:rsid w:val="004E22D3"/>
    <w:rsid w:val="004E4D19"/>
    <w:rsid w:val="004E51AA"/>
    <w:rsid w:val="004E6375"/>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44CC"/>
    <w:rsid w:val="00580285"/>
    <w:rsid w:val="00581A31"/>
    <w:rsid w:val="005847F1"/>
    <w:rsid w:val="00585DD7"/>
    <w:rsid w:val="005878EE"/>
    <w:rsid w:val="00587D31"/>
    <w:rsid w:val="00590A9E"/>
    <w:rsid w:val="00592236"/>
    <w:rsid w:val="005952A7"/>
    <w:rsid w:val="005A1A29"/>
    <w:rsid w:val="005A2F3A"/>
    <w:rsid w:val="005A5A10"/>
    <w:rsid w:val="005A7DAF"/>
    <w:rsid w:val="005B3708"/>
    <w:rsid w:val="005B5091"/>
    <w:rsid w:val="005B55C1"/>
    <w:rsid w:val="005B5A92"/>
    <w:rsid w:val="005B6477"/>
    <w:rsid w:val="005B6F1E"/>
    <w:rsid w:val="005C0DC1"/>
    <w:rsid w:val="005C0F64"/>
    <w:rsid w:val="005C2C11"/>
    <w:rsid w:val="005C34B2"/>
    <w:rsid w:val="005C6064"/>
    <w:rsid w:val="005D3BD8"/>
    <w:rsid w:val="005D46FD"/>
    <w:rsid w:val="005D5625"/>
    <w:rsid w:val="005D63EE"/>
    <w:rsid w:val="005D7C1F"/>
    <w:rsid w:val="005E3EAD"/>
    <w:rsid w:val="005E6A2E"/>
    <w:rsid w:val="005E7F9C"/>
    <w:rsid w:val="005F6699"/>
    <w:rsid w:val="005F70C3"/>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42CF8"/>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46A0"/>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381B"/>
    <w:rsid w:val="006F4E5D"/>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45F7C"/>
    <w:rsid w:val="00750809"/>
    <w:rsid w:val="0075140B"/>
    <w:rsid w:val="00753431"/>
    <w:rsid w:val="007552EF"/>
    <w:rsid w:val="0075656F"/>
    <w:rsid w:val="0076005F"/>
    <w:rsid w:val="00762119"/>
    <w:rsid w:val="007623CA"/>
    <w:rsid w:val="007627B1"/>
    <w:rsid w:val="00763E8A"/>
    <w:rsid w:val="007646E5"/>
    <w:rsid w:val="007663AB"/>
    <w:rsid w:val="00774E8C"/>
    <w:rsid w:val="007759A2"/>
    <w:rsid w:val="00781E1E"/>
    <w:rsid w:val="0078224D"/>
    <w:rsid w:val="00782DFD"/>
    <w:rsid w:val="0078301E"/>
    <w:rsid w:val="00784D2D"/>
    <w:rsid w:val="007868CE"/>
    <w:rsid w:val="00787477"/>
    <w:rsid w:val="0079052F"/>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3C91"/>
    <w:rsid w:val="007C7A5B"/>
    <w:rsid w:val="007D13B6"/>
    <w:rsid w:val="007D1A22"/>
    <w:rsid w:val="007D1D35"/>
    <w:rsid w:val="007D2359"/>
    <w:rsid w:val="007D3647"/>
    <w:rsid w:val="007D4388"/>
    <w:rsid w:val="007D5A2F"/>
    <w:rsid w:val="007D63CA"/>
    <w:rsid w:val="007D6DE5"/>
    <w:rsid w:val="007E27DE"/>
    <w:rsid w:val="007E3439"/>
    <w:rsid w:val="007E6736"/>
    <w:rsid w:val="007F0207"/>
    <w:rsid w:val="007F09D1"/>
    <w:rsid w:val="007F0DFF"/>
    <w:rsid w:val="007F13CB"/>
    <w:rsid w:val="00802ECA"/>
    <w:rsid w:val="008046BB"/>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C5211"/>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0F6"/>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4C34"/>
    <w:rsid w:val="00967522"/>
    <w:rsid w:val="009709CE"/>
    <w:rsid w:val="00972020"/>
    <w:rsid w:val="009760B7"/>
    <w:rsid w:val="00976F03"/>
    <w:rsid w:val="00977EEF"/>
    <w:rsid w:val="00984730"/>
    <w:rsid w:val="009901F6"/>
    <w:rsid w:val="0099106C"/>
    <w:rsid w:val="009939ED"/>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F00"/>
    <w:rsid w:val="009E4506"/>
    <w:rsid w:val="009E6CD2"/>
    <w:rsid w:val="009E70F8"/>
    <w:rsid w:val="009F0404"/>
    <w:rsid w:val="009F0753"/>
    <w:rsid w:val="009F2B61"/>
    <w:rsid w:val="009F2E20"/>
    <w:rsid w:val="009F4023"/>
    <w:rsid w:val="009F49A3"/>
    <w:rsid w:val="009F594D"/>
    <w:rsid w:val="009F71F6"/>
    <w:rsid w:val="009F7D42"/>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378"/>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3FC4"/>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E57EB"/>
    <w:rsid w:val="00BF08B9"/>
    <w:rsid w:val="00BF2BC4"/>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4F26"/>
    <w:rsid w:val="00C86327"/>
    <w:rsid w:val="00C868D4"/>
    <w:rsid w:val="00C917D1"/>
    <w:rsid w:val="00C9299F"/>
    <w:rsid w:val="00C936A2"/>
    <w:rsid w:val="00C93CA2"/>
    <w:rsid w:val="00C95CC8"/>
    <w:rsid w:val="00CA3355"/>
    <w:rsid w:val="00CA3D6D"/>
    <w:rsid w:val="00CA3EDF"/>
    <w:rsid w:val="00CA4C2D"/>
    <w:rsid w:val="00CA548D"/>
    <w:rsid w:val="00CA73A6"/>
    <w:rsid w:val="00CB122E"/>
    <w:rsid w:val="00CB2CDD"/>
    <w:rsid w:val="00CB33A4"/>
    <w:rsid w:val="00CB4F93"/>
    <w:rsid w:val="00CB572A"/>
    <w:rsid w:val="00CC044E"/>
    <w:rsid w:val="00CC15D3"/>
    <w:rsid w:val="00CC53C8"/>
    <w:rsid w:val="00CD64A4"/>
    <w:rsid w:val="00CE229A"/>
    <w:rsid w:val="00CE3F1D"/>
    <w:rsid w:val="00CE3F6F"/>
    <w:rsid w:val="00CE6890"/>
    <w:rsid w:val="00CE68EE"/>
    <w:rsid w:val="00CE7C85"/>
    <w:rsid w:val="00CF35BF"/>
    <w:rsid w:val="00CF6691"/>
    <w:rsid w:val="00CF77C3"/>
    <w:rsid w:val="00D01076"/>
    <w:rsid w:val="00D03645"/>
    <w:rsid w:val="00D0465C"/>
    <w:rsid w:val="00D06D89"/>
    <w:rsid w:val="00D07D99"/>
    <w:rsid w:val="00D16997"/>
    <w:rsid w:val="00D16D4D"/>
    <w:rsid w:val="00D215B5"/>
    <w:rsid w:val="00D223C5"/>
    <w:rsid w:val="00D23791"/>
    <w:rsid w:val="00D23F84"/>
    <w:rsid w:val="00D26869"/>
    <w:rsid w:val="00D27D52"/>
    <w:rsid w:val="00D3072E"/>
    <w:rsid w:val="00D31BDB"/>
    <w:rsid w:val="00D324AB"/>
    <w:rsid w:val="00D32ECF"/>
    <w:rsid w:val="00D34F03"/>
    <w:rsid w:val="00D42114"/>
    <w:rsid w:val="00D452D3"/>
    <w:rsid w:val="00D50B7A"/>
    <w:rsid w:val="00D53C35"/>
    <w:rsid w:val="00D55C7B"/>
    <w:rsid w:val="00D560F3"/>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77092"/>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052B1"/>
    <w:rsid w:val="00E05D36"/>
    <w:rsid w:val="00E1190F"/>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62AB"/>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3BE2"/>
    <w:rsid w:val="00EA7416"/>
    <w:rsid w:val="00EB42EA"/>
    <w:rsid w:val="00EB456B"/>
    <w:rsid w:val="00EB5710"/>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171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4941"/>
    <w:rsid w:val="00F55077"/>
    <w:rsid w:val="00F5797C"/>
    <w:rsid w:val="00F613D9"/>
    <w:rsid w:val="00F63440"/>
    <w:rsid w:val="00F638C7"/>
    <w:rsid w:val="00F647E4"/>
    <w:rsid w:val="00F652E7"/>
    <w:rsid w:val="00F673E9"/>
    <w:rsid w:val="00F72D6D"/>
    <w:rsid w:val="00F75731"/>
    <w:rsid w:val="00F80BE1"/>
    <w:rsid w:val="00F8284B"/>
    <w:rsid w:val="00F82D4F"/>
    <w:rsid w:val="00F84B25"/>
    <w:rsid w:val="00F855B2"/>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ACCD9"/>
  <w15:docId w15:val="{85304B0C-694B-46F6-8487-B7C1232A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qFormat/>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customStyle="1" w:styleId="SABREBALIK">
    <w:name w:val="SABİRE BAŞLIK"/>
    <w:basedOn w:val="Normal"/>
    <w:next w:val="Normal"/>
    <w:uiPriority w:val="99"/>
    <w:qFormat/>
    <w:rsid w:val="007D1A22"/>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custT="1"/>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a:solidFill>
                <a:sysClr val="window" lastClr="FFFFFF"/>
              </a:solidFill>
              <a:latin typeface="+mj-lt"/>
              <a:ea typeface="+mn-ea"/>
              <a:cs typeface="+mn-cs"/>
            </a:rPr>
            <a:t>Merkez Müdürü</a:t>
          </a:r>
        </a:p>
        <a:p>
          <a:r>
            <a:rPr lang="tr-TR" sz="1100">
              <a:solidFill>
                <a:sysClr val="window" lastClr="FFFFFF"/>
              </a:solidFill>
              <a:latin typeface="+mj-lt"/>
              <a:ea typeface="+mn-ea"/>
              <a:cs typeface="+mn-cs"/>
            </a:rPr>
            <a:t>Prof. Dr. Cem Avcı</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custT="1"/>
      <dgm:spPr>
        <a:xfrm>
          <a:off x="36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Yönetim Kurulu</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r>
            <a:rPr lang="tr-TR" sz="1100">
              <a:solidFill>
                <a:sysClr val="window" lastClr="FFFFFF"/>
              </a:solidFill>
              <a:latin typeface="Calibri"/>
              <a:ea typeface="+mn-ea"/>
              <a:cs typeface="+mn-cs"/>
            </a:rPr>
            <a:t> </a:t>
          </a:r>
        </a:p>
      </dgm:t>
    </dgm:pt>
    <dgm:pt modelId="{07E898A3-EE6B-4DF7-A0BB-FAF885580BF5}" type="parTrans" cxnId="{60761DFB-534B-4C77-93B3-527EECFBF912}">
      <dgm:prSet/>
      <dgm:spPr>
        <a:xfrm>
          <a:off x="80208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6EA427A4-6B63-4803-B967-791A2E439006}">
      <dgm:prSet custT="1"/>
      <dgm:spPr>
        <a:xfrm>
          <a:off x="194052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Sekreter</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Erol Metin </a:t>
          </a:r>
          <a:endParaRPr lang="tr-TR" sz="1100">
            <a:solidFill>
              <a:sysClr val="window" lastClr="FFFFFF"/>
            </a:solidFill>
            <a:latin typeface="Calibri"/>
            <a:ea typeface="+mn-ea"/>
            <a:cs typeface="+mn-cs"/>
          </a:endParaRPr>
        </a:p>
      </dgm:t>
    </dgm:pt>
    <dgm:pt modelId="{9DFA0370-94AD-4418-95D2-70BD50044448}" type="parTrans" cxnId="{73E23D00-462E-4C60-8514-5FC064E0C161}">
      <dgm:prSet/>
      <dgm:spPr>
        <a:xfrm>
          <a:off x="2696527" y="974638"/>
          <a:ext cx="9144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custT="1"/>
      <dgm:spPr>
        <a:xfrm>
          <a:off x="388068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Kurul</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endParaRPr lang="tr-TR" sz="1100">
            <a:solidFill>
              <a:sysClr val="window" lastClr="FFFFFF"/>
            </a:solidFill>
            <a:latin typeface="Calibri"/>
            <a:ea typeface="+mn-ea"/>
            <a:cs typeface="+mn-cs"/>
          </a:endParaRPr>
        </a:p>
      </dgm:t>
    </dgm:pt>
    <dgm:pt modelId="{0DDA4564-362E-4BCB-9D10-C9D4F3D0567A}" type="parTrans" cxnId="{6E58F660-86BD-46B9-B4BB-16E6765E0180}">
      <dgm:prSet/>
      <dgm:spPr>
        <a:xfrm>
          <a:off x="274224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custLinFactNeighborX="760" custLinFactNeighborY="-1920">
        <dgm:presLayoutVars>
          <dgm:chPref val="3"/>
        </dgm:presLayoutVars>
      </dgm:prSet>
      <dgm:spPr>
        <a:prstGeom prst="rect">
          <a:avLst/>
        </a:prstGeom>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3"/>
      <dgm:spPr>
        <a:custGeom>
          <a:avLst/>
          <a:gdLst/>
          <a:ahLst/>
          <a:cxnLst/>
          <a:rect l="0" t="0" r="0" b="0"/>
          <a:pathLst>
            <a:path>
              <a:moveTo>
                <a:pt x="1940160" y="0"/>
              </a:moveTo>
              <a:lnTo>
                <a:pt x="1940160" y="168361"/>
              </a:lnTo>
              <a:lnTo>
                <a:pt x="0" y="168361"/>
              </a:lnTo>
              <a:lnTo>
                <a:pt x="0" y="336722"/>
              </a:lnTo>
            </a:path>
          </a:pathLst>
        </a:custGeom>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3" custLinFactNeighborX="4703" custLinFactNeighborY="-1450">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3"/>
      <dgm:spPr/>
      <dgm:t>
        <a:bodyPr/>
        <a:lstStyle/>
        <a:p>
          <a:endParaRPr lang="tr-TR"/>
        </a:p>
      </dgm:t>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B235D67D-843E-4A10-B175-6B77087274F8}" type="pres">
      <dgm:prSet presAssocID="{9DFA0370-94AD-4418-95D2-70BD50044448}" presName="Name35" presStyleLbl="parChTrans1D2" presStyleIdx="1" presStyleCnt="3"/>
      <dgm:spPr>
        <a:custGeom>
          <a:avLst/>
          <a:gdLst/>
          <a:ahLst/>
          <a:cxnLst/>
          <a:rect l="0" t="0" r="0" b="0"/>
          <a:pathLst>
            <a:path>
              <a:moveTo>
                <a:pt x="45720" y="0"/>
              </a:moveTo>
              <a:lnTo>
                <a:pt x="45720" y="336722"/>
              </a:lnTo>
            </a:path>
          </a:pathLst>
        </a:custGeom>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1" presStyleCnt="3">
        <dgm:presLayoutVars>
          <dgm:chPref val="3"/>
        </dgm:presLayoutVars>
      </dgm:prSet>
      <dgm:spPr>
        <a:prstGeom prst="rect">
          <a:avLst/>
        </a:prstGeom>
      </dgm:spPr>
      <dgm:t>
        <a:bodyPr/>
        <a:lstStyle/>
        <a:p>
          <a:endParaRPr lang="tr-TR"/>
        </a:p>
      </dgm:t>
    </dgm:pt>
    <dgm:pt modelId="{38D1E8F4-1A59-48A4-8EC1-2D6D2BD347B7}" type="pres">
      <dgm:prSet presAssocID="{6EA427A4-6B63-4803-B967-791A2E439006}" presName="rootConnector" presStyleLbl="node2" presStyleIdx="1" presStyleCnt="3"/>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2" presStyleCnt="3"/>
      <dgm:spPr>
        <a:custGeom>
          <a:avLst/>
          <a:gdLst/>
          <a:ahLst/>
          <a:cxnLst/>
          <a:rect l="0" t="0" r="0" b="0"/>
          <a:pathLst>
            <a:path>
              <a:moveTo>
                <a:pt x="0" y="0"/>
              </a:moveTo>
              <a:lnTo>
                <a:pt x="0" y="168361"/>
              </a:lnTo>
              <a:lnTo>
                <a:pt x="1940160" y="168361"/>
              </a:lnTo>
              <a:lnTo>
                <a:pt x="1940160" y="336722"/>
              </a:lnTo>
            </a:path>
          </a:pathLst>
        </a:custGeom>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2" presStyleCnt="3">
        <dgm:presLayoutVars>
          <dgm:chPref val="3"/>
        </dgm:presLayoutVars>
      </dgm:prSet>
      <dgm:spPr>
        <a:prstGeom prst="rect">
          <a:avLst/>
        </a:prstGeom>
      </dgm:spPr>
      <dgm:t>
        <a:bodyPr/>
        <a:lstStyle/>
        <a:p>
          <a:endParaRPr lang="tr-TR"/>
        </a:p>
      </dgm:t>
    </dgm:pt>
    <dgm:pt modelId="{2A781E52-447D-444A-91F7-12DC1D31FDD0}" type="pres">
      <dgm:prSet presAssocID="{08808C1E-994D-4C3D-BAF8-F23B8D3B198C}" presName="rootConnector" presStyleLbl="node2" presStyleIdx="2" presStyleCnt="3"/>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8A75A0D0-FE98-4C8E-90CA-CE45727D75E8}" type="pres">
      <dgm:prSet presAssocID="{97F21794-3E62-4FC2-AC67-6E308B52F5EC}" presName="hierChild3" presStyleCnt="0"/>
      <dgm:spPr/>
    </dgm:pt>
  </dgm:ptLst>
  <dgm:cxnLst>
    <dgm:cxn modelId="{AAAF0F02-13A1-48E5-8EB8-65BD67F59B1C}" type="presOf" srcId="{FA08720D-FA48-4444-9258-DC0A3970A3A0}" destId="{F401AE51-AEC1-4094-94C7-67FFAAD44F4A}" srcOrd="1" destOrd="0" presId="urn:microsoft.com/office/officeart/2005/8/layout/orgChart1"/>
    <dgm:cxn modelId="{774FE870-992F-4F26-B9D7-70E368700ACE}" type="presOf" srcId="{08808C1E-994D-4C3D-BAF8-F23B8D3B198C}" destId="{2A781E52-447D-444A-91F7-12DC1D31FDD0}" srcOrd="1" destOrd="0" presId="urn:microsoft.com/office/officeart/2005/8/layout/orgChart1"/>
    <dgm:cxn modelId="{CD7BF0D2-7E32-4F37-AA32-01965FEFECCB}" type="presOf" srcId="{07E898A3-EE6B-4DF7-A0BB-FAF885580BF5}" destId="{AC2A182D-1678-4360-A130-231DB1FE6B45}" srcOrd="0" destOrd="0" presId="urn:microsoft.com/office/officeart/2005/8/layout/orgChart1"/>
    <dgm:cxn modelId="{512B62CA-4A49-46AD-922E-6197CCD24E7A}" type="presOf" srcId="{FA08720D-FA48-4444-9258-DC0A3970A3A0}" destId="{3277ACD7-6C9D-49AB-AA58-BACD4C38B626}" srcOrd="0" destOrd="0" presId="urn:microsoft.com/office/officeart/2005/8/layout/orgChart1"/>
    <dgm:cxn modelId="{6CBAF4B8-C0F7-4445-8FF4-9B3007F3F39B}" type="presOf" srcId="{97F21794-3E62-4FC2-AC67-6E308B52F5EC}" destId="{909EA145-076D-4BC8-BD5B-F59683D2073A}" srcOrd="0" destOrd="0" presId="urn:microsoft.com/office/officeart/2005/8/layout/orgChart1"/>
    <dgm:cxn modelId="{435648AC-1429-46F2-82BF-D780DE2BCC18}" type="presOf" srcId="{97F21794-3E62-4FC2-AC67-6E308B52F5EC}" destId="{F1C04F69-8BA6-4278-AFC1-D2B092213D3B}" srcOrd="1" destOrd="0" presId="urn:microsoft.com/office/officeart/2005/8/layout/orgChart1"/>
    <dgm:cxn modelId="{00166682-E1CF-4157-820E-3BC4D7EC2819}" srcId="{8E8E3CAD-A8E8-4705-B08C-DEC68D816EDA}" destId="{97F21794-3E62-4FC2-AC67-6E308B52F5EC}" srcOrd="0" destOrd="0" parTransId="{A896682C-6E5F-4370-AF29-908753B25F6D}" sibTransId="{EF08E37B-32CD-49B7-AC7D-8F953CA66DA1}"/>
    <dgm:cxn modelId="{E64B5E43-4BC2-479B-B5CE-CC6EE7022BE7}" type="presOf" srcId="{6EA427A4-6B63-4803-B967-791A2E439006}" destId="{38DA428A-01F7-489E-BBD8-B88EE686390B}" srcOrd="0" destOrd="0" presId="urn:microsoft.com/office/officeart/2005/8/layout/orgChart1"/>
    <dgm:cxn modelId="{86347B34-15C9-4D9D-BF90-BB16A3289EC7}" type="presOf" srcId="{0DDA4564-362E-4BCB-9D10-C9D4F3D0567A}" destId="{17DC65D5-B766-43E6-BEB3-AD7DC94B539B}" srcOrd="0" destOrd="0" presId="urn:microsoft.com/office/officeart/2005/8/layout/orgChart1"/>
    <dgm:cxn modelId="{1F0480FB-D42E-421A-ADDC-23CD97A27DA9}" type="presOf" srcId="{9DFA0370-94AD-4418-95D2-70BD50044448}" destId="{B235D67D-843E-4A10-B175-6B77087274F8}" srcOrd="0" destOrd="0" presId="urn:microsoft.com/office/officeart/2005/8/layout/orgChart1"/>
    <dgm:cxn modelId="{6E58F660-86BD-46B9-B4BB-16E6765E0180}" srcId="{97F21794-3E62-4FC2-AC67-6E308B52F5EC}" destId="{08808C1E-994D-4C3D-BAF8-F23B8D3B198C}" srcOrd="2" destOrd="0" parTransId="{0DDA4564-362E-4BCB-9D10-C9D4F3D0567A}" sibTransId="{AE3A560E-1D84-4EB0-A32D-671EA102BAAC}"/>
    <dgm:cxn modelId="{60761DFB-534B-4C77-93B3-527EECFBF912}" srcId="{97F21794-3E62-4FC2-AC67-6E308B52F5EC}" destId="{FA08720D-FA48-4444-9258-DC0A3970A3A0}" srcOrd="0" destOrd="0" parTransId="{07E898A3-EE6B-4DF7-A0BB-FAF885580BF5}" sibTransId="{05B23862-CD35-4058-A50C-F08BB0227D4F}"/>
    <dgm:cxn modelId="{5CC1320A-8ECB-40AC-9E0C-E3ABD534D77C}" type="presOf" srcId="{6EA427A4-6B63-4803-B967-791A2E439006}" destId="{38D1E8F4-1A59-48A4-8EC1-2D6D2BD347B7}" srcOrd="1" destOrd="0" presId="urn:microsoft.com/office/officeart/2005/8/layout/orgChart1"/>
    <dgm:cxn modelId="{73E23D00-462E-4C60-8514-5FC064E0C161}" srcId="{97F21794-3E62-4FC2-AC67-6E308B52F5EC}" destId="{6EA427A4-6B63-4803-B967-791A2E439006}" srcOrd="1" destOrd="0" parTransId="{9DFA0370-94AD-4418-95D2-70BD50044448}" sibTransId="{4D20650E-B103-490D-AB97-C799035D2D5A}"/>
    <dgm:cxn modelId="{254185D1-92D2-45C9-B478-38838EDEE1C0}" type="presOf" srcId="{8E8E3CAD-A8E8-4705-B08C-DEC68D816EDA}" destId="{C90B6682-CFB1-4EA7-AEB3-BC6CEBCFC965}" srcOrd="0" destOrd="0" presId="urn:microsoft.com/office/officeart/2005/8/layout/orgChart1"/>
    <dgm:cxn modelId="{4CD3D9EF-759E-4550-BB95-3C8FBD0E4976}" type="presOf" srcId="{08808C1E-994D-4C3D-BAF8-F23B8D3B198C}" destId="{49042760-A768-4013-9E4F-7F5ACA65BB62}" srcOrd="0" destOrd="0" presId="urn:microsoft.com/office/officeart/2005/8/layout/orgChart1"/>
    <dgm:cxn modelId="{64557BD6-DB13-4E67-ABD2-FDB261CCA278}" type="presParOf" srcId="{C90B6682-CFB1-4EA7-AEB3-BC6CEBCFC965}" destId="{3C0E6242-7989-4451-9268-A997D6FA95F0}" srcOrd="0" destOrd="0" presId="urn:microsoft.com/office/officeart/2005/8/layout/orgChart1"/>
    <dgm:cxn modelId="{94C8578B-3467-4183-9D86-9E3DF03ED1A8}" type="presParOf" srcId="{3C0E6242-7989-4451-9268-A997D6FA95F0}" destId="{121C74FB-2A42-44D7-B27E-31B233754FC4}" srcOrd="0" destOrd="0" presId="urn:microsoft.com/office/officeart/2005/8/layout/orgChart1"/>
    <dgm:cxn modelId="{CA42BBEE-9A44-48EA-B7C8-8E4DF47013FE}" type="presParOf" srcId="{121C74FB-2A42-44D7-B27E-31B233754FC4}" destId="{909EA145-076D-4BC8-BD5B-F59683D2073A}" srcOrd="0" destOrd="0" presId="urn:microsoft.com/office/officeart/2005/8/layout/orgChart1"/>
    <dgm:cxn modelId="{A1C0DC12-1E5F-4FD0-8A84-3226255665DE}" type="presParOf" srcId="{121C74FB-2A42-44D7-B27E-31B233754FC4}" destId="{F1C04F69-8BA6-4278-AFC1-D2B092213D3B}" srcOrd="1" destOrd="0" presId="urn:microsoft.com/office/officeart/2005/8/layout/orgChart1"/>
    <dgm:cxn modelId="{109329C1-CE1C-4A3A-8D06-802767D43F4B}" type="presParOf" srcId="{3C0E6242-7989-4451-9268-A997D6FA95F0}" destId="{26E1F6D9-08FE-4A1F-AF86-E36354A54AEF}" srcOrd="1" destOrd="0" presId="urn:microsoft.com/office/officeart/2005/8/layout/orgChart1"/>
    <dgm:cxn modelId="{CC08FA5C-F4E0-48EB-A257-8BE71C22BFB3}" type="presParOf" srcId="{26E1F6D9-08FE-4A1F-AF86-E36354A54AEF}" destId="{AC2A182D-1678-4360-A130-231DB1FE6B45}" srcOrd="0" destOrd="0" presId="urn:microsoft.com/office/officeart/2005/8/layout/orgChart1"/>
    <dgm:cxn modelId="{DDD41466-B912-4A14-A94C-E46871DF8F42}" type="presParOf" srcId="{26E1F6D9-08FE-4A1F-AF86-E36354A54AEF}" destId="{051ECC0C-F9EB-4619-993E-326A9C520A8E}" srcOrd="1" destOrd="0" presId="urn:microsoft.com/office/officeart/2005/8/layout/orgChart1"/>
    <dgm:cxn modelId="{D76EA525-3ECF-4650-B767-EA8093FC580B}" type="presParOf" srcId="{051ECC0C-F9EB-4619-993E-326A9C520A8E}" destId="{310370CF-68A7-419B-97E4-8D3446A6FDA0}" srcOrd="0" destOrd="0" presId="urn:microsoft.com/office/officeart/2005/8/layout/orgChart1"/>
    <dgm:cxn modelId="{BC0CEA4E-5897-4B41-A961-78EA2CCD7C78}" type="presParOf" srcId="{310370CF-68A7-419B-97E4-8D3446A6FDA0}" destId="{3277ACD7-6C9D-49AB-AA58-BACD4C38B626}" srcOrd="0" destOrd="0" presId="urn:microsoft.com/office/officeart/2005/8/layout/orgChart1"/>
    <dgm:cxn modelId="{AD266999-C125-44A9-8A27-372A34AA206A}" type="presParOf" srcId="{310370CF-68A7-419B-97E4-8D3446A6FDA0}" destId="{F401AE51-AEC1-4094-94C7-67FFAAD44F4A}" srcOrd="1" destOrd="0" presId="urn:microsoft.com/office/officeart/2005/8/layout/orgChart1"/>
    <dgm:cxn modelId="{7829AA54-547B-48FC-90A8-53348445586F}" type="presParOf" srcId="{051ECC0C-F9EB-4619-993E-326A9C520A8E}" destId="{409DFC5B-BA09-4A21-9CDB-736F1A847953}" srcOrd="1" destOrd="0" presId="urn:microsoft.com/office/officeart/2005/8/layout/orgChart1"/>
    <dgm:cxn modelId="{AEA9B638-456B-4503-9769-90E27DAE8202}" type="presParOf" srcId="{051ECC0C-F9EB-4619-993E-326A9C520A8E}" destId="{E02EA8EA-B4A4-4604-8917-60D28527F11B}" srcOrd="2" destOrd="0" presId="urn:microsoft.com/office/officeart/2005/8/layout/orgChart1"/>
    <dgm:cxn modelId="{1A7B4636-0B23-4FE5-BA4F-92442E252AD1}" type="presParOf" srcId="{26E1F6D9-08FE-4A1F-AF86-E36354A54AEF}" destId="{B235D67D-843E-4A10-B175-6B77087274F8}" srcOrd="2" destOrd="0" presId="urn:microsoft.com/office/officeart/2005/8/layout/orgChart1"/>
    <dgm:cxn modelId="{69CA0210-FB92-47D4-8731-BAE504776CAF}" type="presParOf" srcId="{26E1F6D9-08FE-4A1F-AF86-E36354A54AEF}" destId="{752BA632-6497-4176-8ED0-50DA63B9E2BD}" srcOrd="3" destOrd="0" presId="urn:microsoft.com/office/officeart/2005/8/layout/orgChart1"/>
    <dgm:cxn modelId="{55A3C67D-214A-4D65-A8BE-D1D8FCBBA24E}" type="presParOf" srcId="{752BA632-6497-4176-8ED0-50DA63B9E2BD}" destId="{9BDDC51F-0F46-4254-AD70-0E37E966B6C6}" srcOrd="0" destOrd="0" presId="urn:microsoft.com/office/officeart/2005/8/layout/orgChart1"/>
    <dgm:cxn modelId="{99534AAC-4E9C-498F-9C20-977FABF51E96}" type="presParOf" srcId="{9BDDC51F-0F46-4254-AD70-0E37E966B6C6}" destId="{38DA428A-01F7-489E-BBD8-B88EE686390B}" srcOrd="0" destOrd="0" presId="urn:microsoft.com/office/officeart/2005/8/layout/orgChart1"/>
    <dgm:cxn modelId="{772D7055-18AF-48D2-A484-E51395FF1658}" type="presParOf" srcId="{9BDDC51F-0F46-4254-AD70-0E37E966B6C6}" destId="{38D1E8F4-1A59-48A4-8EC1-2D6D2BD347B7}" srcOrd="1" destOrd="0" presId="urn:microsoft.com/office/officeart/2005/8/layout/orgChart1"/>
    <dgm:cxn modelId="{4BB08CA3-5846-4FAB-9082-658AFF0FE92B}" type="presParOf" srcId="{752BA632-6497-4176-8ED0-50DA63B9E2BD}" destId="{98D737BA-DE34-4BEB-93DE-B9A024CAFDE6}" srcOrd="1" destOrd="0" presId="urn:microsoft.com/office/officeart/2005/8/layout/orgChart1"/>
    <dgm:cxn modelId="{D14E689A-37F0-4DE5-9AE3-1AE3E5B1F8C7}" type="presParOf" srcId="{752BA632-6497-4176-8ED0-50DA63B9E2BD}" destId="{C4991EA6-F2A4-4C4B-ABC4-D0C177DFA3A4}" srcOrd="2" destOrd="0" presId="urn:microsoft.com/office/officeart/2005/8/layout/orgChart1"/>
    <dgm:cxn modelId="{74D7F752-1D4B-4D2C-A07F-1F85186A497E}" type="presParOf" srcId="{26E1F6D9-08FE-4A1F-AF86-E36354A54AEF}" destId="{17DC65D5-B766-43E6-BEB3-AD7DC94B539B}" srcOrd="4" destOrd="0" presId="urn:microsoft.com/office/officeart/2005/8/layout/orgChart1"/>
    <dgm:cxn modelId="{71F901F0-FE4C-4025-A138-CD82906F5D07}" type="presParOf" srcId="{26E1F6D9-08FE-4A1F-AF86-E36354A54AEF}" destId="{274E5E2F-AF98-4487-A819-A4EFE939E44B}" srcOrd="5" destOrd="0" presId="urn:microsoft.com/office/officeart/2005/8/layout/orgChart1"/>
    <dgm:cxn modelId="{5B908D51-66DB-4CF4-8F2A-C9CF3608761B}" type="presParOf" srcId="{274E5E2F-AF98-4487-A819-A4EFE939E44B}" destId="{E0D3CC77-7A8B-4A3A-B3A5-438183314CFA}" srcOrd="0" destOrd="0" presId="urn:microsoft.com/office/officeart/2005/8/layout/orgChart1"/>
    <dgm:cxn modelId="{07A0A3F0-9176-4395-B119-EEE4975CA7F7}" type="presParOf" srcId="{E0D3CC77-7A8B-4A3A-B3A5-438183314CFA}" destId="{49042760-A768-4013-9E4F-7F5ACA65BB62}" srcOrd="0" destOrd="0" presId="urn:microsoft.com/office/officeart/2005/8/layout/orgChart1"/>
    <dgm:cxn modelId="{A6E3A990-B009-4746-9B74-0137D9E6D879}" type="presParOf" srcId="{E0D3CC77-7A8B-4A3A-B3A5-438183314CFA}" destId="{2A781E52-447D-444A-91F7-12DC1D31FDD0}" srcOrd="1" destOrd="0" presId="urn:microsoft.com/office/officeart/2005/8/layout/orgChart1"/>
    <dgm:cxn modelId="{02F39BAE-6B7E-440A-BA38-66BECA187EFB}" type="presParOf" srcId="{274E5E2F-AF98-4487-A819-A4EFE939E44B}" destId="{F3616946-AE32-411F-AB70-C75F955FBBF3}" srcOrd="1" destOrd="0" presId="urn:microsoft.com/office/officeart/2005/8/layout/orgChart1"/>
    <dgm:cxn modelId="{F9019B16-ABE6-41B3-9E15-B9EA34E2FF5A}" type="presParOf" srcId="{274E5E2F-AF98-4487-A819-A4EFE939E44B}" destId="{807B55CE-6A29-4019-B708-4124611B03BF}" srcOrd="2" destOrd="0" presId="urn:microsoft.com/office/officeart/2005/8/layout/orgChart1"/>
    <dgm:cxn modelId="{005B0FD0-EFAA-41BD-97A1-35F9D86D4EF9}"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65D5-B766-43E6-BEB3-AD7DC94B539B}">
      <dsp:nvSpPr>
        <dsp:cNvPr id="0" name=""/>
        <dsp:cNvSpPr/>
      </dsp:nvSpPr>
      <dsp:spPr>
        <a:xfrm>
          <a:off x="2958217" y="1029471"/>
          <a:ext cx="2070613" cy="378165"/>
        </a:xfrm>
        <a:custGeom>
          <a:avLst/>
          <a:gdLst/>
          <a:ahLst/>
          <a:cxnLst/>
          <a:rect l="0" t="0" r="0" b="0"/>
          <a:pathLst>
            <a:path>
              <a:moveTo>
                <a:pt x="0" y="0"/>
              </a:moveTo>
              <a:lnTo>
                <a:pt x="0" y="168361"/>
              </a:lnTo>
              <a:lnTo>
                <a:pt x="1940160" y="168361"/>
              </a:lnTo>
              <a:lnTo>
                <a:pt x="194016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2899410" y="1029471"/>
          <a:ext cx="91440" cy="378165"/>
        </a:xfrm>
        <a:custGeom>
          <a:avLst/>
          <a:gdLst/>
          <a:ahLst/>
          <a:cxnLst/>
          <a:rect l="0" t="0" r="0" b="0"/>
          <a:pathLst>
            <a:path>
              <a:moveTo>
                <a:pt x="45720" y="0"/>
              </a:moveTo>
              <a:lnTo>
                <a:pt x="4572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942417" y="1029471"/>
          <a:ext cx="2015799" cy="365680"/>
        </a:xfrm>
        <a:custGeom>
          <a:avLst/>
          <a:gdLst/>
          <a:ahLst/>
          <a:cxnLst/>
          <a:rect l="0" t="0" r="0" b="0"/>
          <a:pathLst>
            <a:path>
              <a:moveTo>
                <a:pt x="1940160" y="0"/>
              </a:moveTo>
              <a:lnTo>
                <a:pt x="1940160" y="168361"/>
              </a:lnTo>
              <a:lnTo>
                <a:pt x="0" y="168361"/>
              </a:lnTo>
              <a:lnTo>
                <a:pt x="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097184" y="1684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mj-lt"/>
              <a:ea typeface="+mn-ea"/>
              <a:cs typeface="+mn-cs"/>
            </a:rPr>
            <a:t>Merkez Müdürü</a:t>
          </a:r>
        </a:p>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Prof. Dr. Cem Avcı</a:t>
          </a:r>
        </a:p>
      </dsp:txBody>
      <dsp:txXfrm>
        <a:off x="2097184" y="168437"/>
        <a:ext cx="1722066" cy="861033"/>
      </dsp:txXfrm>
    </dsp:sp>
    <dsp:sp modelId="{3277ACD7-6C9D-49AB-AA58-BACD4C38B626}">
      <dsp:nvSpPr>
        <dsp:cNvPr id="0" name=""/>
        <dsp:cNvSpPr/>
      </dsp:nvSpPr>
      <dsp:spPr>
        <a:xfrm>
          <a:off x="81384" y="1395152"/>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Yönetim Kurulu</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r>
            <a:rPr lang="tr-TR" sz="1100" kern="1200">
              <a:solidFill>
                <a:sysClr val="window" lastClr="FFFFFF"/>
              </a:solidFill>
              <a:latin typeface="Calibri"/>
              <a:ea typeface="+mn-ea"/>
              <a:cs typeface="+mn-cs"/>
            </a:rPr>
            <a:t> </a:t>
          </a:r>
        </a:p>
      </dsp:txBody>
      <dsp:txXfrm>
        <a:off x="81384" y="1395152"/>
        <a:ext cx="1722066" cy="861033"/>
      </dsp:txXfrm>
    </dsp:sp>
    <dsp:sp modelId="{38DA428A-01F7-489E-BBD8-B88EE686390B}">
      <dsp:nvSpPr>
        <dsp:cNvPr id="0" name=""/>
        <dsp:cNvSpPr/>
      </dsp:nvSpPr>
      <dsp:spPr>
        <a:xfrm>
          <a:off x="2084096"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Sekreter</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Erol Metin </a:t>
          </a:r>
          <a:endParaRPr lang="tr-TR" sz="1100" kern="1200">
            <a:solidFill>
              <a:sysClr val="window" lastClr="FFFFFF"/>
            </a:solidFill>
            <a:latin typeface="Calibri"/>
            <a:ea typeface="+mn-ea"/>
            <a:cs typeface="+mn-cs"/>
          </a:endParaRPr>
        </a:p>
      </dsp:txBody>
      <dsp:txXfrm>
        <a:off x="2084096" y="1407637"/>
        <a:ext cx="1722066" cy="861033"/>
      </dsp:txXfrm>
    </dsp:sp>
    <dsp:sp modelId="{49042760-A768-4013-9E4F-7F5ACA65BB62}">
      <dsp:nvSpPr>
        <dsp:cNvPr id="0" name=""/>
        <dsp:cNvSpPr/>
      </dsp:nvSpPr>
      <dsp:spPr>
        <a:xfrm>
          <a:off x="4167797"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Kurul</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endParaRPr lang="tr-TR" sz="1100" kern="1200">
            <a:solidFill>
              <a:sysClr val="window" lastClr="FFFFFF"/>
            </a:solidFill>
            <a:latin typeface="Calibri"/>
            <a:ea typeface="+mn-ea"/>
            <a:cs typeface="+mn-cs"/>
          </a:endParaRPr>
        </a:p>
      </dsp:txBody>
      <dsp:txXfrm>
        <a:off x="4167797" y="1407637"/>
        <a:ext cx="1722066" cy="8610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BD0AB8-15EC-46A9-A38B-AE32469C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1490</Words>
  <Characters>8498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Enerji Politikaları Uygulama ve Araştırma Merkezi</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Enerji Politikaları Uygulama ve Araştırma Merkezi</dc:title>
  <dc:subject>2023</dc:subject>
  <dc:creator>Gülşen Mutlu</dc:creator>
  <cp:lastModifiedBy>user</cp:lastModifiedBy>
  <cp:revision>9</cp:revision>
  <dcterms:created xsi:type="dcterms:W3CDTF">2024-02-09T07:12:00Z</dcterms:created>
  <dcterms:modified xsi:type="dcterms:W3CDTF">2024-03-20T13:06:00Z</dcterms:modified>
</cp:coreProperties>
</file>