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E562AB" w:rsidP="00F0171E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F0171E">
                      <w:rPr>
                        <w:color w:val="548DD4" w:themeColor="text2" w:themeTint="99"/>
                        <w:sz w:val="96"/>
                        <w:szCs w:val="96"/>
                      </w:rPr>
                      <w:t>Enerji Politikaları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E562AB" w:rsidP="00350705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350705" w:rsidRPr="00D6527A">
                      <w:rPr>
                        <w:b/>
                        <w:sz w:val="96"/>
                        <w:szCs w:val="96"/>
                      </w:rPr>
                      <w:t>7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E562AB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7BBDDEB" wp14:editId="7D3D7781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3A1E88E0" wp14:editId="4075BA5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7A6196" wp14:editId="14FEAA5C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E562AB" w:rsidRDefault="00E562AB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E562AB" w:rsidRDefault="00E562AB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8DA506F" wp14:editId="3A4C70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219687E1" wp14:editId="26E7758B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787477" w:rsidRDefault="00787477" w:rsidP="00EA3B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17ECD" w:rsidRPr="00F0171E" w:rsidRDefault="00F0171E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F0171E">
        <w:rPr>
          <w:rFonts w:asciiTheme="majorHAnsi" w:eastAsia="Calibri" w:hAnsiTheme="majorHAnsi" w:cs="InterstateLight"/>
          <w:b/>
          <w:lang w:val="de-DE"/>
        </w:rPr>
        <w:t>Misyon</w:t>
      </w:r>
      <w:proofErr w:type="spellEnd"/>
      <w:r w:rsidRPr="00F0171E">
        <w:rPr>
          <w:rFonts w:asciiTheme="majorHAnsi" w:eastAsia="Calibri" w:hAnsiTheme="majorHAnsi" w:cs="InterstateLight"/>
          <w:b/>
          <w:lang w:val="de-DE"/>
        </w:rPr>
        <w:t xml:space="preserve"> 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üzerine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çok-disiplinli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bir perspektiften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yaparak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eğ</w:t>
      </w:r>
      <w:r>
        <w:rPr>
          <w:rFonts w:asciiTheme="majorHAnsi" w:eastAsia="Calibri" w:hAnsiTheme="majorHAnsi" w:cs="InterstateLight"/>
          <w:lang w:val="de-DE"/>
        </w:rPr>
        <w:t>itimler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düzenleyerek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ulusal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işbirlikleri tesis ederek ve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yaygın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katılımlı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tartışma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platformları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oluşturarak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rasyonel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karar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vermeye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akademik katkı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sağl</w:t>
      </w:r>
      <w:r>
        <w:rPr>
          <w:rFonts w:asciiTheme="majorHAnsi" w:eastAsia="Calibri" w:hAnsiTheme="majorHAnsi" w:cs="InterstateLight"/>
          <w:lang w:val="de-DE"/>
        </w:rPr>
        <w:t>amak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kamu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yönetimine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politika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oluşturuculara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piyasa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oyuncularına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politikaları üzerine karar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ver</w:t>
      </w:r>
      <w:r>
        <w:rPr>
          <w:rFonts w:asciiTheme="majorHAnsi" w:eastAsia="Calibri" w:hAnsiTheme="majorHAnsi" w:cs="InterstateLight"/>
          <w:lang w:val="de-DE"/>
        </w:rPr>
        <w:t>icilere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uzmanlara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bilimsel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şeffaf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güvenilir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kolay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erişilebilir bir danışma ve karar destek ortamı sunmak.</w:t>
      </w:r>
    </w:p>
    <w:p w:rsidR="00F0171E" w:rsidRPr="00F0171E" w:rsidRDefault="00F0171E" w:rsidP="00EA3BE2">
      <w:pPr>
        <w:shd w:val="clear" w:color="auto" w:fill="FFFFFF"/>
        <w:spacing w:after="0" w:line="300" w:lineRule="exact"/>
        <w:jc w:val="both"/>
        <w:textAlignment w:val="baseline"/>
        <w:rPr>
          <w:rFonts w:asciiTheme="majorHAnsi" w:eastAsia="Calibri" w:hAnsiTheme="majorHAnsi" w:cs="InterstateLight"/>
          <w:lang w:val="de-DE"/>
        </w:rPr>
      </w:pPr>
    </w:p>
    <w:p w:rsidR="00F0171E" w:rsidRPr="00F0171E" w:rsidRDefault="00F0171E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F0171E">
        <w:rPr>
          <w:rFonts w:asciiTheme="majorHAnsi" w:eastAsia="Calibri" w:hAnsiTheme="majorHAnsi" w:cs="InterstateLight"/>
          <w:b/>
          <w:lang w:val="de-DE"/>
        </w:rPr>
        <w:t>Vizyon</w:t>
      </w:r>
      <w:proofErr w:type="spellEnd"/>
      <w:r w:rsidRPr="00F0171E">
        <w:rPr>
          <w:rFonts w:asciiTheme="majorHAnsi" w:eastAsia="Calibri" w:hAnsiTheme="majorHAnsi" w:cs="InterstateLight"/>
          <w:b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Bilgiyi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doğru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tarafsız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çok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disiplinli ve bilimsel temellere dayalı olarak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bütünsel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değ</w:t>
      </w:r>
      <w:r>
        <w:rPr>
          <w:rFonts w:asciiTheme="majorHAnsi" w:eastAsia="Calibri" w:hAnsiTheme="majorHAnsi" w:cs="InterstateLight"/>
          <w:lang w:val="de-DE"/>
        </w:rPr>
        <w:t>erlendirme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ile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şeffaf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ortamda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oluşturup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yayan araştırma ve uygulama mer</w:t>
      </w:r>
      <w:r>
        <w:rPr>
          <w:rFonts w:asciiTheme="majorHAnsi" w:eastAsia="Calibri" w:hAnsiTheme="majorHAnsi" w:cs="InterstateLight"/>
          <w:lang w:val="de-DE"/>
        </w:rPr>
        <w:t xml:space="preserve">kezi </w:t>
      </w:r>
      <w:proofErr w:type="spellStart"/>
      <w:r>
        <w:rPr>
          <w:rFonts w:asciiTheme="majorHAnsi" w:eastAsia="Calibri" w:hAnsiTheme="majorHAnsi" w:cs="InterstateLight"/>
          <w:lang w:val="de-DE"/>
        </w:rPr>
        <w:t>olarak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ulusal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>
        <w:rPr>
          <w:rFonts w:asciiTheme="majorHAnsi" w:eastAsia="Calibri" w:hAnsiTheme="majorHAnsi" w:cs="InterstateLight"/>
          <w:lang w:val="de-DE"/>
        </w:rPr>
        <w:t>bölgesel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düzeyde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0171E">
        <w:rPr>
          <w:rFonts w:asciiTheme="majorHAnsi" w:eastAsia="Calibri" w:hAnsiTheme="majorHAnsi" w:cs="InterstateLight"/>
          <w:lang w:val="de-DE"/>
        </w:rPr>
        <w:t>politikalarının</w:t>
      </w:r>
      <w:proofErr w:type="spellEnd"/>
      <w:r w:rsidRPr="00F0171E">
        <w:rPr>
          <w:rFonts w:asciiTheme="majorHAnsi" w:eastAsia="Calibri" w:hAnsiTheme="majorHAnsi" w:cs="InterstateLight"/>
          <w:lang w:val="de-DE"/>
        </w:rPr>
        <w:t xml:space="preserve"> geliştirilmesinde ve uygulamasında söz sahibi olmak.</w:t>
      </w:r>
    </w:p>
    <w:p w:rsidR="00F0171E" w:rsidRDefault="00F0171E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Default="00522364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EA3B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A1A29" w:rsidRPr="005A1A29" w:rsidRDefault="005A1A29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5A1A29">
        <w:rPr>
          <w:rFonts w:asciiTheme="majorHAnsi" w:eastAsia="Calibri" w:hAnsiTheme="majorHAnsi" w:cs="InterstateLight"/>
          <w:lang w:val="de-DE"/>
        </w:rPr>
        <w:t xml:space="preserve">EPAM,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ve Uygulama Merkezinin kuruluşu 18 Aralı</w:t>
      </w:r>
      <w:r>
        <w:rPr>
          <w:rFonts w:asciiTheme="majorHAnsi" w:eastAsia="Calibri" w:hAnsiTheme="majorHAnsi" w:cs="InterstateLight"/>
          <w:lang w:val="de-DE"/>
        </w:rPr>
        <w:t xml:space="preserve">k 2014 </w:t>
      </w:r>
      <w:proofErr w:type="spellStart"/>
      <w:r>
        <w:rPr>
          <w:rFonts w:asciiTheme="majorHAnsi" w:eastAsia="Calibri" w:hAnsiTheme="majorHAnsi" w:cs="InterstateLight"/>
          <w:lang w:val="de-DE"/>
        </w:rPr>
        <w:t>tarih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29209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Sayılı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Gazete’de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yayınlanan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Yönetmelik ile birlikte resmileşmiştir.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EPAM’ın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amacı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Türkiye’d</w:t>
      </w:r>
      <w:r>
        <w:rPr>
          <w:rFonts w:asciiTheme="majorHAnsi" w:eastAsia="Calibri" w:hAnsiTheme="majorHAnsi" w:cs="InterstateLight"/>
          <w:lang w:val="de-DE"/>
        </w:rPr>
        <w:t>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Piyasalarına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ilişkin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doğru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ve güvenilir bilgi kaynağı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politikalarına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iliş</w:t>
      </w:r>
      <w:r>
        <w:rPr>
          <w:rFonts w:asciiTheme="majorHAnsi" w:eastAsia="Calibri" w:hAnsiTheme="majorHAnsi" w:cs="InterstateLight"/>
          <w:lang w:val="de-DE"/>
        </w:rPr>
        <w:t>kin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yayınlara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öncülük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etmek ve bu konuda bağımsız, akadem</w:t>
      </w:r>
      <w:r>
        <w:rPr>
          <w:rFonts w:asciiTheme="majorHAnsi" w:eastAsia="Calibri" w:hAnsiTheme="majorHAnsi" w:cs="InterstateLight"/>
          <w:lang w:val="de-DE"/>
        </w:rPr>
        <w:t xml:space="preserve">ik ve </w:t>
      </w:r>
      <w:proofErr w:type="spellStart"/>
      <w:r>
        <w:rPr>
          <w:rFonts w:asciiTheme="majorHAnsi" w:eastAsia="Calibri" w:hAnsiTheme="majorHAnsi" w:cs="InterstateLight"/>
          <w:lang w:val="de-DE"/>
        </w:rPr>
        <w:t>güçlü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referans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kaynak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olmak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üzere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>. Hedefi Türkiye’nin enerji politikaları</w:t>
      </w:r>
      <w:r>
        <w:rPr>
          <w:rFonts w:asciiTheme="majorHAnsi" w:eastAsia="Calibri" w:hAnsiTheme="majorHAnsi" w:cs="InterstateLight"/>
          <w:lang w:val="de-DE"/>
        </w:rPr>
        <w:t xml:space="preserve">na </w:t>
      </w:r>
      <w:proofErr w:type="spellStart"/>
      <w:r>
        <w:rPr>
          <w:rFonts w:asciiTheme="majorHAnsi" w:eastAsia="Calibri" w:hAnsiTheme="majorHAnsi" w:cs="InterstateLight"/>
          <w:lang w:val="de-DE"/>
        </w:rPr>
        <w:t>yön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vermek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kamu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kurumlarının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özel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5A1A29">
        <w:rPr>
          <w:rFonts w:asciiTheme="majorHAnsi" w:eastAsia="Calibri" w:hAnsiTheme="majorHAnsi" w:cs="InterstateLight"/>
          <w:lang w:val="de-DE"/>
        </w:rPr>
        <w:t>sektörün</w:t>
      </w:r>
      <w:proofErr w:type="spellEnd"/>
      <w:r w:rsidRPr="005A1A29">
        <w:rPr>
          <w:rFonts w:asciiTheme="majorHAnsi" w:eastAsia="Calibri" w:hAnsiTheme="majorHAnsi" w:cs="InterstateLight"/>
          <w:lang w:val="de-DE"/>
        </w:rPr>
        <w:t xml:space="preserve"> daima başvurduğu referans kurum olmaktır.</w:t>
      </w:r>
    </w:p>
    <w:p w:rsidR="005A1A29" w:rsidRDefault="005A1A29" w:rsidP="00EA3BE2">
      <w:pPr>
        <w:spacing w:after="0" w:line="300" w:lineRule="exact"/>
        <w:rPr>
          <w:rFonts w:ascii="Calibri" w:hAnsi="Calibri" w:cs="Calibri"/>
        </w:rPr>
      </w:pPr>
    </w:p>
    <w:p w:rsidR="002471B2" w:rsidRDefault="002471B2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EA3BE2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9972CD" w:rsidRDefault="007627B1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temel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politikası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olarak kurumsallaşmak, ilgili Kurumlar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güçlü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network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kamu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oyunda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tanınır hale gelmek sureti ile bu alanda ihtiyaç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duyulan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bağımsı</w:t>
      </w:r>
      <w:r>
        <w:rPr>
          <w:rFonts w:asciiTheme="majorHAnsi" w:eastAsia="Calibri" w:hAnsiTheme="majorHAnsi" w:cs="InterstateLight"/>
          <w:lang w:val="de-DE"/>
        </w:rPr>
        <w:t>z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güçlü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referans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olma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özelliğini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sağlayacak ilk çatıyı kurmakla başlamaktadı</w:t>
      </w:r>
      <w:r>
        <w:rPr>
          <w:rFonts w:asciiTheme="majorHAnsi" w:eastAsia="Calibri" w:hAnsiTheme="majorHAnsi" w:cs="InterstateLight"/>
          <w:lang w:val="de-DE"/>
        </w:rPr>
        <w:t xml:space="preserve">r. </w:t>
      </w:r>
      <w:proofErr w:type="spellStart"/>
      <w:r>
        <w:rPr>
          <w:rFonts w:asciiTheme="majorHAnsi" w:eastAsia="Calibri" w:hAnsiTheme="majorHAnsi" w:cs="InterstateLight"/>
          <w:lang w:val="de-DE"/>
        </w:rPr>
        <w:t>Bu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amaçla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öncelikli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kurumsal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alt yapısını güçlendirmek, yapılacak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</w:t>
      </w:r>
      <w:r>
        <w:rPr>
          <w:rFonts w:asciiTheme="majorHAnsi" w:eastAsia="Calibri" w:hAnsiTheme="majorHAnsi" w:cs="InterstateLight"/>
          <w:lang w:val="de-DE"/>
        </w:rPr>
        <w:t>malara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kaynak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oluşturmak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bunu takiben referans kurum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ola</w:t>
      </w:r>
      <w:r>
        <w:rPr>
          <w:rFonts w:asciiTheme="majorHAnsi" w:eastAsia="Calibri" w:hAnsiTheme="majorHAnsi" w:cs="InterstateLight"/>
          <w:lang w:val="de-DE"/>
        </w:rPr>
        <w:t>bilmek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için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güvenilir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nitelikli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kadrosunu güçlendirmektir. Bu amaçla ö</w:t>
      </w:r>
      <w:r>
        <w:rPr>
          <w:rFonts w:asciiTheme="majorHAnsi" w:eastAsia="Calibri" w:hAnsiTheme="majorHAnsi" w:cs="InterstateLight"/>
          <w:lang w:val="de-DE"/>
        </w:rPr>
        <w:t xml:space="preserve">ncelikli </w:t>
      </w:r>
      <w:proofErr w:type="spellStart"/>
      <w:r>
        <w:rPr>
          <w:rFonts w:asciiTheme="majorHAnsi" w:eastAsia="Calibri" w:hAnsiTheme="majorHAnsi" w:cs="InterstateLight"/>
          <w:lang w:val="de-DE"/>
        </w:rPr>
        <w:t>olarak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Enerji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ve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Tabii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Bakanlığı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Enerji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Piyasası Düzenleme Kurumu ile yakın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çalışma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ortamı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oluş</w:t>
      </w:r>
      <w:r>
        <w:rPr>
          <w:rFonts w:asciiTheme="majorHAnsi" w:eastAsia="Calibri" w:hAnsiTheme="majorHAnsi" w:cs="InterstateLight"/>
          <w:lang w:val="de-DE"/>
        </w:rPr>
        <w:t>turmak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üzere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önceliklerini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627B1">
        <w:rPr>
          <w:rFonts w:asciiTheme="majorHAnsi" w:eastAsia="Calibri" w:hAnsiTheme="majorHAnsi" w:cs="InterstateLight"/>
          <w:lang w:val="de-DE"/>
        </w:rPr>
        <w:t>şekillendirmiştir</w:t>
      </w:r>
      <w:proofErr w:type="spellEnd"/>
      <w:r w:rsidRPr="007627B1">
        <w:rPr>
          <w:rFonts w:asciiTheme="majorHAnsi" w:eastAsia="Calibri" w:hAnsiTheme="majorHAnsi" w:cs="InterstateLight"/>
          <w:lang w:val="de-DE"/>
        </w:rPr>
        <w:t>.</w:t>
      </w:r>
    </w:p>
    <w:p w:rsidR="007627B1" w:rsidRPr="00787477" w:rsidRDefault="007627B1" w:rsidP="00EA3BE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17925" w:rsidRDefault="00217925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F1090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TARAFINDAN DÜZENLENEN </w:t>
      </w:r>
      <w:r w:rsidR="00521E4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Default="00521E49" w:rsidP="00EA3BE2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p w:rsidR="00521E49" w:rsidRPr="00633FF6" w:rsidRDefault="00521E4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="00E562AB" w:rsidRPr="00E562A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Caspian</w:t>
      </w:r>
      <w:proofErr w:type="spellEnd"/>
      <w:r w:rsidR="00E562AB" w:rsidRPr="00E562A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E562AB" w:rsidRPr="00E562A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Energy</w:t>
      </w:r>
      <w:proofErr w:type="spellEnd"/>
      <w:r w:rsidR="00E562AB" w:rsidRPr="00E562A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at </w:t>
      </w:r>
      <w:proofErr w:type="spellStart"/>
      <w:r w:rsidR="00E562AB" w:rsidRPr="00E562A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="00E562AB" w:rsidRPr="00E562A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E562AB" w:rsidRPr="00E562A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Crossroads</w:t>
      </w:r>
      <w:proofErr w:type="spellEnd"/>
    </w:p>
    <w:p w:rsidR="00521E49" w:rsidRPr="006E0678" w:rsidRDefault="00521E4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="00633FF6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E562AB" w:rsidRPr="008C5211">
        <w:rPr>
          <w:rFonts w:asciiTheme="majorHAnsi" w:eastAsia="Calibri" w:hAnsiTheme="majorHAnsi" w:cs="InterstateLight"/>
          <w:lang w:val="de-DE"/>
        </w:rPr>
        <w:t xml:space="preserve">Gürkan </w:t>
      </w:r>
      <w:proofErr w:type="spellStart"/>
      <w:r w:rsidR="00E562AB" w:rsidRPr="008C5211">
        <w:rPr>
          <w:rFonts w:asciiTheme="majorHAnsi" w:eastAsia="Calibri" w:hAnsiTheme="majorHAnsi" w:cs="InterstateLight"/>
          <w:lang w:val="de-DE"/>
        </w:rPr>
        <w:t>Kumbaroğlu</w:t>
      </w:r>
      <w:proofErr w:type="spellEnd"/>
    </w:p>
    <w:p w:rsidR="00521E49" w:rsidRPr="006E0678" w:rsidRDefault="00521E4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197309" w:rsidRPr="008C5211">
        <w:rPr>
          <w:rFonts w:asciiTheme="majorHAnsi" w:eastAsia="Calibri" w:hAnsiTheme="majorHAnsi" w:cs="InterstateLight"/>
          <w:lang w:val="de-DE"/>
        </w:rPr>
        <w:t xml:space="preserve">17 </w:t>
      </w:r>
      <w:proofErr w:type="spellStart"/>
      <w:r w:rsidR="00197309" w:rsidRPr="008C5211">
        <w:rPr>
          <w:rFonts w:asciiTheme="majorHAnsi" w:eastAsia="Calibri" w:hAnsiTheme="majorHAnsi" w:cs="InterstateLight"/>
          <w:lang w:val="de-DE"/>
        </w:rPr>
        <w:t>Mayıs</w:t>
      </w:r>
      <w:proofErr w:type="spellEnd"/>
      <w:r w:rsidR="00197309" w:rsidRPr="008C5211">
        <w:rPr>
          <w:rFonts w:asciiTheme="majorHAnsi" w:eastAsia="Calibri" w:hAnsiTheme="majorHAnsi" w:cs="InterstateLight"/>
          <w:lang w:val="de-DE"/>
        </w:rPr>
        <w:t xml:space="preserve"> 2017</w:t>
      </w:r>
    </w:p>
    <w:p w:rsidR="00521E49" w:rsidRPr="006E0678" w:rsidRDefault="00521E4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521E49" w:rsidRPr="006E0678" w:rsidRDefault="00521E4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197309">
        <w:rPr>
          <w:rFonts w:asciiTheme="majorHAnsi" w:eastAsia="Calibri" w:hAnsiTheme="majorHAnsi" w:cs="InterstateLight"/>
          <w:lang w:val="de-DE"/>
        </w:rPr>
        <w:t>30</w:t>
      </w:r>
    </w:p>
    <w:p w:rsidR="00521E49" w:rsidRPr="006E0678" w:rsidRDefault="00521E4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197309">
        <w:rPr>
          <w:rFonts w:asciiTheme="majorHAnsi" w:eastAsia="Calibri" w:hAnsiTheme="majorHAnsi" w:cs="InterstateLight"/>
          <w:lang w:val="de-DE"/>
        </w:rPr>
        <w:t>2</w:t>
      </w:r>
    </w:p>
    <w:p w:rsidR="006A0990" w:rsidRDefault="006A0990" w:rsidP="00EA3BE2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197309" w:rsidRPr="00633FF6" w:rsidRDefault="0019730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19730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Prospects</w:t>
      </w:r>
      <w:proofErr w:type="spellEnd"/>
      <w:r w:rsidRPr="0019730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19730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for</w:t>
      </w:r>
      <w:proofErr w:type="spellEnd"/>
      <w:r w:rsidRPr="0019730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Eastern </w:t>
      </w:r>
      <w:proofErr w:type="spellStart"/>
      <w:r w:rsidRPr="0019730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Mediterranean</w:t>
      </w:r>
      <w:proofErr w:type="spellEnd"/>
      <w:r w:rsidRPr="0019730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Gas</w:t>
      </w:r>
    </w:p>
    <w:p w:rsidR="00197309" w:rsidRPr="006E0678" w:rsidRDefault="0019730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8C5211">
        <w:rPr>
          <w:rFonts w:asciiTheme="majorHAnsi" w:eastAsia="Calibri" w:hAnsiTheme="majorHAnsi" w:cs="InterstateLight"/>
          <w:lang w:val="de-DE"/>
        </w:rPr>
        <w:t xml:space="preserve">Gürkan </w:t>
      </w:r>
      <w:proofErr w:type="spellStart"/>
      <w:r w:rsidRPr="008C5211">
        <w:rPr>
          <w:rFonts w:asciiTheme="majorHAnsi" w:eastAsia="Calibri" w:hAnsiTheme="majorHAnsi" w:cs="InterstateLight"/>
          <w:lang w:val="de-DE"/>
        </w:rPr>
        <w:t>Kumbaroğlu</w:t>
      </w:r>
      <w:proofErr w:type="spellEnd"/>
    </w:p>
    <w:p w:rsidR="00197309" w:rsidRPr="006E0678" w:rsidRDefault="0019730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03</w:t>
      </w:r>
      <w:r w:rsidRPr="008C521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8C5211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Pr="008C5211">
        <w:rPr>
          <w:rFonts w:asciiTheme="majorHAnsi" w:eastAsia="Calibri" w:hAnsiTheme="majorHAnsi" w:cs="InterstateLight"/>
          <w:lang w:val="de-DE"/>
        </w:rPr>
        <w:t xml:space="preserve"> 2017</w:t>
      </w:r>
    </w:p>
    <w:p w:rsidR="00197309" w:rsidRPr="006E0678" w:rsidRDefault="0019730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197309" w:rsidRPr="006E0678" w:rsidRDefault="0019730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197309" w:rsidRPr="006E0678" w:rsidRDefault="0019730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3</w:t>
      </w:r>
    </w:p>
    <w:p w:rsidR="008C5211" w:rsidRDefault="008C5211" w:rsidP="00EA3BE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97309" w:rsidRPr="00633FF6" w:rsidRDefault="0019730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6F4E5D"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The Gas Age: Global </w:t>
      </w:r>
      <w:proofErr w:type="spellStart"/>
      <w:r w:rsidR="006F4E5D"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="006F4E5D"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6F4E5D"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Local</w:t>
      </w:r>
      <w:proofErr w:type="spellEnd"/>
      <w:r w:rsidR="006F4E5D"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6F4E5D"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Prospects</w:t>
      </w:r>
      <w:proofErr w:type="spellEnd"/>
    </w:p>
    <w:p w:rsidR="00197309" w:rsidRPr="006E0678" w:rsidRDefault="0019730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8C5211">
        <w:rPr>
          <w:rFonts w:asciiTheme="majorHAnsi" w:eastAsia="Calibri" w:hAnsiTheme="majorHAnsi" w:cs="InterstateLight"/>
          <w:lang w:val="de-DE"/>
        </w:rPr>
        <w:t xml:space="preserve">Gürkan </w:t>
      </w:r>
      <w:proofErr w:type="spellStart"/>
      <w:r w:rsidRPr="008C5211">
        <w:rPr>
          <w:rFonts w:asciiTheme="majorHAnsi" w:eastAsia="Calibri" w:hAnsiTheme="majorHAnsi" w:cs="InterstateLight"/>
          <w:lang w:val="de-DE"/>
        </w:rPr>
        <w:t>Kumbaroğlu</w:t>
      </w:r>
      <w:proofErr w:type="spellEnd"/>
    </w:p>
    <w:p w:rsidR="00197309" w:rsidRPr="006E0678" w:rsidRDefault="00197309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6F4E5D" w:rsidRPr="008C5211">
        <w:rPr>
          <w:rFonts w:asciiTheme="majorHAnsi" w:eastAsia="Calibri" w:hAnsiTheme="majorHAnsi" w:cs="InterstateLight"/>
          <w:lang w:val="de-DE"/>
        </w:rPr>
        <w:t xml:space="preserve">22 </w:t>
      </w:r>
      <w:proofErr w:type="spellStart"/>
      <w:r w:rsidR="006F4E5D" w:rsidRPr="008C5211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="006F4E5D" w:rsidRPr="008C5211">
        <w:rPr>
          <w:rFonts w:asciiTheme="majorHAnsi" w:eastAsia="Calibri" w:hAnsiTheme="majorHAnsi" w:cs="InterstateLight"/>
          <w:lang w:val="de-DE"/>
        </w:rPr>
        <w:t xml:space="preserve"> 2017</w:t>
      </w:r>
    </w:p>
    <w:p w:rsidR="00197309" w:rsidRPr="006E0678" w:rsidRDefault="0019730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197309" w:rsidRPr="006E0678" w:rsidRDefault="0019730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197309" w:rsidRPr="006E0678" w:rsidRDefault="00197309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3</w:t>
      </w:r>
    </w:p>
    <w:p w:rsidR="008C5211" w:rsidRDefault="008C5211" w:rsidP="00EA3BE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6F4E5D" w:rsidRPr="00633FF6" w:rsidRDefault="006F4E5D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1</w:t>
      </w:r>
      <w:r w:rsidRPr="006F4E5D">
        <w:rPr>
          <w:rFonts w:ascii="Cambria" w:eastAsia="Calibri" w:hAnsi="Cambria" w:cs="Times New Roman"/>
          <w:b/>
          <w:color w:val="365F91" w:themeColor="accent1" w:themeShade="BF"/>
          <w:vertAlign w:val="superscript"/>
          <w:lang w:eastAsia="tr-TR"/>
        </w:rPr>
        <w:t>st</w:t>
      </w:r>
      <w:r w:rsidRPr="006F4E5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RIE International Conference</w:t>
      </w:r>
    </w:p>
    <w:p w:rsidR="006F4E5D" w:rsidRPr="006E0678" w:rsidRDefault="006F4E5D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8C5211">
        <w:rPr>
          <w:rFonts w:asciiTheme="majorHAnsi" w:eastAsia="Calibri" w:hAnsiTheme="majorHAnsi" w:cs="InterstateLight"/>
          <w:lang w:val="de-DE"/>
        </w:rPr>
        <w:t xml:space="preserve">Gürkan </w:t>
      </w:r>
      <w:proofErr w:type="spellStart"/>
      <w:r w:rsidRPr="008C5211">
        <w:rPr>
          <w:rFonts w:asciiTheme="majorHAnsi" w:eastAsia="Calibri" w:hAnsiTheme="majorHAnsi" w:cs="InterstateLight"/>
          <w:lang w:val="de-DE"/>
        </w:rPr>
        <w:t>Kumbaroğlu</w:t>
      </w:r>
      <w:proofErr w:type="spellEnd"/>
    </w:p>
    <w:p w:rsidR="006F4E5D" w:rsidRPr="006E0678" w:rsidRDefault="006F4E5D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8C5211">
        <w:rPr>
          <w:rFonts w:asciiTheme="majorHAnsi" w:eastAsia="Calibri" w:hAnsiTheme="majorHAnsi" w:cs="InterstateLight"/>
          <w:lang w:val="de-DE"/>
        </w:rPr>
        <w:t xml:space="preserve">30 Kasım – 1 </w:t>
      </w:r>
      <w:proofErr w:type="spellStart"/>
      <w:r w:rsidRPr="008C5211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8C5211">
        <w:rPr>
          <w:rFonts w:asciiTheme="majorHAnsi" w:eastAsia="Calibri" w:hAnsiTheme="majorHAnsi" w:cs="InterstateLight"/>
          <w:lang w:val="de-DE"/>
        </w:rPr>
        <w:t xml:space="preserve"> 2017</w:t>
      </w:r>
    </w:p>
    <w:p w:rsidR="006F4E5D" w:rsidRPr="006E0678" w:rsidRDefault="006F4E5D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6E0678">
        <w:rPr>
          <w:rFonts w:asciiTheme="majorHAnsi" w:eastAsia="Calibri" w:hAnsiTheme="majorHAnsi" w:cs="InterstateLight"/>
          <w:lang w:val="de-DE"/>
        </w:rPr>
        <w:t>Üniversitesi</w:t>
      </w:r>
      <w:proofErr w:type="spellEnd"/>
    </w:p>
    <w:p w:rsidR="006F4E5D" w:rsidRPr="006E0678" w:rsidRDefault="006F4E5D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65</w:t>
      </w:r>
    </w:p>
    <w:p w:rsidR="006F4E5D" w:rsidRPr="006E0678" w:rsidRDefault="006F4E5D" w:rsidP="00EA3BE2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14</w:t>
      </w:r>
    </w:p>
    <w:p w:rsidR="008C5211" w:rsidRDefault="008C5211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C84F26" w:rsidRPr="0072388A" w:rsidRDefault="00EA3BE2" w:rsidP="00EA3BE2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C84F26"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C84F26" w:rsidRPr="0072388A" w:rsidRDefault="00C84F26" w:rsidP="00EA3BE2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C84F26" w:rsidRPr="003E4D16" w:rsidRDefault="00C84F26" w:rsidP="00EA3BE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Yayın</w:t>
      </w:r>
    </w:p>
    <w:p w:rsidR="00C84F26" w:rsidRDefault="00C84F26" w:rsidP="00EA3B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C84F26" w:rsidRDefault="00C84F26" w:rsidP="00EA3BE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C84F26">
        <w:rPr>
          <w:rFonts w:asciiTheme="majorHAnsi" w:eastAsia="Calibri" w:hAnsiTheme="majorHAnsi" w:cs="InterstateLight"/>
          <w:lang w:val="de-DE"/>
        </w:rPr>
        <w:t xml:space="preserve">Metin, E.,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Kumbaroğlu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, G., Bereket, S.. An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Assessment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of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the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Regulatory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and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 xml:space="preserve">Market </w:t>
      </w:r>
    </w:p>
    <w:p w:rsidR="00C84F26" w:rsidRDefault="00C84F26" w:rsidP="00EA3BE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Transformation </w:t>
      </w:r>
      <w:proofErr w:type="spellStart"/>
      <w:r>
        <w:rPr>
          <w:rFonts w:asciiTheme="majorHAnsi" w:eastAsia="Calibri" w:hAnsiTheme="majorHAnsi" w:cs="InterstateLight"/>
          <w:lang w:val="de-DE"/>
        </w:rPr>
        <w:t>P</w:t>
      </w:r>
      <w:r w:rsidRPr="00C84F26">
        <w:rPr>
          <w:rFonts w:asciiTheme="majorHAnsi" w:eastAsia="Calibri" w:hAnsiTheme="majorHAnsi" w:cs="InterstateLight"/>
          <w:lang w:val="de-DE"/>
        </w:rPr>
        <w:t>rocess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of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Downstream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Oil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Industry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in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Turkey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, EPAM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Working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C84F26">
        <w:rPr>
          <w:rFonts w:asciiTheme="majorHAnsi" w:eastAsia="Calibri" w:hAnsiTheme="majorHAnsi" w:cs="InterstateLight"/>
          <w:lang w:val="de-DE"/>
        </w:rPr>
        <w:t>Paper</w:t>
      </w:r>
      <w:proofErr w:type="spellEnd"/>
      <w:r w:rsidRPr="00C84F26">
        <w:rPr>
          <w:rFonts w:asciiTheme="majorHAnsi" w:eastAsia="Calibri" w:hAnsiTheme="majorHAnsi" w:cs="InterstateLight"/>
          <w:lang w:val="de-DE"/>
        </w:rPr>
        <w:t xml:space="preserve"> No.1, </w:t>
      </w:r>
    </w:p>
    <w:p w:rsidR="00C84F26" w:rsidRPr="00C84F26" w:rsidRDefault="00C84F26" w:rsidP="00EA3BE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Pr="00C84F26">
        <w:rPr>
          <w:rFonts w:asciiTheme="majorHAnsi" w:eastAsia="Calibri" w:hAnsiTheme="majorHAnsi" w:cs="InterstateLight"/>
          <w:lang w:val="de-DE"/>
        </w:rPr>
        <w:t>2017.</w:t>
      </w:r>
    </w:p>
    <w:p w:rsidR="00C84F26" w:rsidRPr="00C84F26" w:rsidRDefault="00C84F26" w:rsidP="00EA3B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434236" w:rsidRDefault="00EA3BE2" w:rsidP="00EA3BE2">
      <w:pPr>
        <w:spacing w:after="0" w:line="300" w:lineRule="exact"/>
        <w:rPr>
          <w:rFonts w:ascii="Trebuchet MS" w:hAnsi="Trebuchet MS"/>
          <w:b/>
          <w:sz w:val="20"/>
          <w:szCs w:val="20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</w:t>
      </w:r>
      <w:r w:rsidR="00537E6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8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EA3BE2" w:rsidRDefault="00EA3BE2" w:rsidP="00EA3BE2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p w:rsidR="007B1AAA" w:rsidRPr="00F37220" w:rsidRDefault="00F50C5B" w:rsidP="00EA3BE2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5118"/>
        <w:gridCol w:w="3261"/>
      </w:tblGrid>
      <w:tr w:rsidR="00F37220" w:rsidRPr="00F37220" w:rsidTr="00030830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20" w:rsidRPr="00F37220" w:rsidRDefault="00F37220" w:rsidP="00EA3BE2">
            <w:pPr>
              <w:spacing w:after="0" w:line="300" w:lineRule="exact"/>
              <w:rPr>
                <w:rFonts w:asciiTheme="majorHAnsi" w:hAnsiTheme="majorHAnsi"/>
                <w:b/>
                <w:lang w:eastAsia="ko-KR"/>
              </w:rPr>
            </w:pPr>
            <w:r w:rsidRPr="00F37220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220" w:rsidRPr="00F37220" w:rsidRDefault="00F37220" w:rsidP="00EA3BE2">
            <w:pPr>
              <w:spacing w:after="0" w:line="300" w:lineRule="exact"/>
              <w:rPr>
                <w:rFonts w:asciiTheme="majorHAnsi" w:hAnsiTheme="majorHAnsi"/>
                <w:b/>
                <w:lang w:eastAsia="ko-KR"/>
              </w:rPr>
            </w:pPr>
            <w:r w:rsidRPr="00F37220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</w:tr>
      <w:tr w:rsidR="00C071FC" w:rsidRPr="00F37220" w:rsidTr="00030830">
        <w:trPr>
          <w:trHeight w:val="5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FC" w:rsidRPr="00C071FC" w:rsidRDefault="00C84F26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84F26">
              <w:rPr>
                <w:rFonts w:asciiTheme="majorHAnsi" w:hAnsiTheme="majorHAnsi"/>
                <w:lang w:eastAsia="ko-KR"/>
              </w:rPr>
              <w:t>2nci RIE Uluslararası Konferansı’nı</w:t>
            </w:r>
            <w:r>
              <w:rPr>
                <w:rFonts w:asciiTheme="majorHAnsi" w:hAnsiTheme="majorHAnsi"/>
                <w:lang w:eastAsia="ko-KR"/>
              </w:rPr>
              <w:t xml:space="preserve">n </w:t>
            </w:r>
            <w:r w:rsidRPr="00C84F26">
              <w:rPr>
                <w:rFonts w:asciiTheme="majorHAnsi" w:hAnsiTheme="majorHAnsi"/>
                <w:lang w:eastAsia="ko-KR"/>
              </w:rPr>
              <w:t>Tahran Üniversitesi ile işbirliğ</w:t>
            </w:r>
            <w:r>
              <w:rPr>
                <w:rFonts w:asciiTheme="majorHAnsi" w:hAnsiTheme="majorHAnsi"/>
                <w:lang w:eastAsia="ko-KR"/>
              </w:rPr>
              <w:t xml:space="preserve">i </w:t>
            </w:r>
            <w:r w:rsidRPr="00C84F26">
              <w:rPr>
                <w:rFonts w:asciiTheme="majorHAnsi" w:hAnsiTheme="majorHAnsi"/>
                <w:lang w:eastAsia="ko-KR"/>
              </w:rPr>
              <w:t>içerisinde gerçekleştirilmesi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C84F26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C84F26">
              <w:rPr>
                <w:rFonts w:asciiTheme="majorHAnsi" w:hAnsiTheme="majorHAnsi"/>
                <w:lang w:eastAsia="ko-KR"/>
              </w:rPr>
              <w:t>En az 70 kiş</w:t>
            </w:r>
            <w:r>
              <w:rPr>
                <w:rFonts w:asciiTheme="majorHAnsi" w:hAnsiTheme="majorHAnsi"/>
                <w:lang w:eastAsia="ko-KR"/>
              </w:rPr>
              <w:t xml:space="preserve">ilik </w:t>
            </w:r>
            <w:r w:rsidRPr="00C84F26">
              <w:rPr>
                <w:rFonts w:asciiTheme="majorHAnsi" w:hAnsiTheme="majorHAnsi"/>
                <w:lang w:eastAsia="ko-KR"/>
              </w:rPr>
              <w:t>katılı</w:t>
            </w:r>
            <w:r>
              <w:rPr>
                <w:rFonts w:asciiTheme="majorHAnsi" w:hAnsiTheme="majorHAnsi"/>
                <w:lang w:eastAsia="ko-KR"/>
              </w:rPr>
              <w:t xml:space="preserve">m </w:t>
            </w:r>
            <w:r w:rsidRPr="00C84F26">
              <w:rPr>
                <w:rFonts w:asciiTheme="majorHAnsi" w:hAnsiTheme="majorHAnsi"/>
                <w:lang w:eastAsia="ko-KR"/>
              </w:rPr>
              <w:t>sağlanması</w:t>
            </w:r>
          </w:p>
        </w:tc>
      </w:tr>
      <w:tr w:rsidR="00C071FC" w:rsidRPr="00F37220" w:rsidTr="0003083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FC" w:rsidRPr="00C071FC" w:rsidRDefault="00D560F3" w:rsidP="00EA3BE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hAnsiTheme="majorHAnsi"/>
                <w:lang w:eastAsia="ko-KR"/>
              </w:rPr>
            </w:pPr>
            <w:proofErr w:type="spellStart"/>
            <w:r w:rsidRPr="00D560F3">
              <w:rPr>
                <w:rFonts w:asciiTheme="majorHAnsi" w:hAnsiTheme="majorHAnsi"/>
                <w:lang w:eastAsia="ko-KR"/>
              </w:rPr>
              <w:t>Çalıştay</w:t>
            </w:r>
            <w:proofErr w:type="spellEnd"/>
            <w:r w:rsidRPr="00D560F3">
              <w:rPr>
                <w:rFonts w:asciiTheme="majorHAnsi" w:hAnsiTheme="majorHAnsi"/>
                <w:lang w:eastAsia="ko-KR"/>
              </w:rPr>
              <w:t>/panel organizasyonu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030830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En az 2 etkinlik </w:t>
            </w:r>
            <w:r w:rsidR="00D560F3" w:rsidRPr="00D560F3">
              <w:rPr>
                <w:rFonts w:asciiTheme="majorHAnsi" w:hAnsiTheme="majorHAnsi"/>
                <w:lang w:eastAsia="ko-KR"/>
              </w:rPr>
              <w:t>organizasyonu</w:t>
            </w:r>
          </w:p>
        </w:tc>
      </w:tr>
      <w:tr w:rsidR="00C071FC" w:rsidRPr="00F37220" w:rsidTr="00030830">
        <w:trPr>
          <w:trHeight w:val="37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1FC" w:rsidRPr="00C071FC" w:rsidRDefault="00030830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030830">
              <w:rPr>
                <w:rFonts w:asciiTheme="majorHAnsi" w:hAnsiTheme="majorHAnsi"/>
                <w:lang w:eastAsia="ko-KR"/>
              </w:rPr>
              <w:t>Boğaziç</w:t>
            </w:r>
            <w:r>
              <w:rPr>
                <w:rFonts w:asciiTheme="majorHAnsi" w:hAnsiTheme="majorHAnsi"/>
                <w:lang w:eastAsia="ko-KR"/>
              </w:rPr>
              <w:t xml:space="preserve">i Üniversitesi Enerji </w:t>
            </w:r>
            <w:r w:rsidRPr="00030830">
              <w:rPr>
                <w:rFonts w:asciiTheme="majorHAnsi" w:hAnsiTheme="majorHAnsi"/>
                <w:lang w:eastAsia="ko-KR"/>
              </w:rPr>
              <w:t xml:space="preserve">Modelleme Sistemi </w:t>
            </w:r>
            <w:proofErr w:type="spellStart"/>
            <w:r w:rsidRPr="00030830">
              <w:rPr>
                <w:rFonts w:asciiTheme="majorHAnsi" w:hAnsiTheme="majorHAnsi"/>
                <w:lang w:eastAsia="ko-KR"/>
              </w:rPr>
              <w:t>BUEMS’</w:t>
            </w:r>
            <w:r>
              <w:rPr>
                <w:rFonts w:asciiTheme="majorHAnsi" w:hAnsiTheme="majorHAnsi"/>
                <w:lang w:eastAsia="ko-KR"/>
              </w:rPr>
              <w:t>in</w:t>
            </w:r>
            <w:proofErr w:type="spellEnd"/>
            <w:r>
              <w:rPr>
                <w:rFonts w:asciiTheme="majorHAnsi" w:hAnsiTheme="majorHAnsi"/>
                <w:lang w:eastAsia="ko-KR"/>
              </w:rPr>
              <w:t xml:space="preserve"> </w:t>
            </w:r>
            <w:r w:rsidRPr="00030830">
              <w:rPr>
                <w:rFonts w:asciiTheme="majorHAnsi" w:hAnsiTheme="majorHAnsi"/>
                <w:lang w:eastAsia="ko-KR"/>
              </w:rPr>
              <w:t>Merkez kapsamında kullanılması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030830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BUEMS </w:t>
            </w:r>
            <w:r w:rsidRPr="00030830">
              <w:rPr>
                <w:rFonts w:asciiTheme="majorHAnsi" w:hAnsiTheme="majorHAnsi"/>
                <w:lang w:eastAsia="ko-KR"/>
              </w:rPr>
              <w:t>sonuçlarını</w:t>
            </w:r>
            <w:r>
              <w:rPr>
                <w:rFonts w:asciiTheme="majorHAnsi" w:hAnsiTheme="majorHAnsi"/>
                <w:lang w:eastAsia="ko-KR"/>
              </w:rPr>
              <w:t xml:space="preserve">n </w:t>
            </w:r>
            <w:r w:rsidRPr="00030830">
              <w:rPr>
                <w:rFonts w:asciiTheme="majorHAnsi" w:hAnsiTheme="majorHAnsi"/>
                <w:lang w:eastAsia="ko-KR"/>
              </w:rPr>
              <w:t>sunulduğ</w:t>
            </w:r>
            <w:r>
              <w:rPr>
                <w:rFonts w:asciiTheme="majorHAnsi" w:hAnsiTheme="majorHAnsi"/>
                <w:lang w:eastAsia="ko-KR"/>
              </w:rPr>
              <w:t xml:space="preserve">u en az 1 adet EPAM </w:t>
            </w:r>
            <w:proofErr w:type="spellStart"/>
            <w:r>
              <w:rPr>
                <w:rFonts w:asciiTheme="majorHAnsi" w:hAnsiTheme="majorHAnsi"/>
                <w:lang w:eastAsia="ko-KR"/>
              </w:rPr>
              <w:t>Working</w:t>
            </w:r>
            <w:proofErr w:type="spellEnd"/>
            <w:r>
              <w:rPr>
                <w:rFonts w:asciiTheme="majorHAnsi" w:hAnsiTheme="majorHAnsi"/>
                <w:lang w:eastAsia="ko-KR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eastAsia="ko-KR"/>
              </w:rPr>
              <w:t>Paper</w:t>
            </w:r>
            <w:proofErr w:type="spellEnd"/>
            <w:r>
              <w:rPr>
                <w:rFonts w:asciiTheme="majorHAnsi" w:hAnsiTheme="majorHAnsi"/>
                <w:lang w:eastAsia="ko-KR"/>
              </w:rPr>
              <w:t xml:space="preserve"> </w:t>
            </w:r>
            <w:r w:rsidRPr="00030830">
              <w:rPr>
                <w:rFonts w:asciiTheme="majorHAnsi" w:hAnsiTheme="majorHAnsi"/>
                <w:lang w:eastAsia="ko-KR"/>
              </w:rPr>
              <w:t>basımı</w:t>
            </w:r>
          </w:p>
        </w:tc>
      </w:tr>
      <w:tr w:rsidR="00C071FC" w:rsidRPr="00F37220" w:rsidTr="00030830">
        <w:trPr>
          <w:trHeight w:val="4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5B2" w:rsidRPr="00F855B2" w:rsidRDefault="00F855B2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F855B2">
              <w:rPr>
                <w:rFonts w:asciiTheme="majorHAnsi" w:hAnsiTheme="majorHAnsi"/>
                <w:lang w:eastAsia="ko-KR"/>
              </w:rPr>
              <w:t>Yurtiçi ve/veya yurtdışı</w:t>
            </w:r>
            <w:r>
              <w:rPr>
                <w:rFonts w:asciiTheme="majorHAnsi" w:hAnsiTheme="majorHAnsi"/>
                <w:lang w:eastAsia="ko-KR"/>
              </w:rPr>
              <w:t xml:space="preserve"> </w:t>
            </w:r>
            <w:r w:rsidRPr="00F855B2">
              <w:rPr>
                <w:rFonts w:asciiTheme="majorHAnsi" w:hAnsiTheme="majorHAnsi"/>
                <w:lang w:eastAsia="ko-KR"/>
              </w:rPr>
              <w:t>üniversite</w:t>
            </w:r>
            <w:r>
              <w:rPr>
                <w:rFonts w:asciiTheme="majorHAnsi" w:hAnsiTheme="majorHAnsi"/>
                <w:lang w:eastAsia="ko-KR"/>
              </w:rPr>
              <w:t xml:space="preserve">lerin ilgili Merkezleri, ilgili </w:t>
            </w:r>
            <w:r w:rsidRPr="00F855B2">
              <w:rPr>
                <w:rFonts w:asciiTheme="majorHAnsi" w:hAnsiTheme="majorHAnsi"/>
                <w:lang w:eastAsia="ko-KR"/>
              </w:rPr>
              <w:t>Kamu Kurumları ve/veya Özel</w:t>
            </w:r>
          </w:p>
          <w:p w:rsidR="00C071FC" w:rsidRPr="00C071FC" w:rsidRDefault="00F855B2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 w:rsidRPr="00F855B2">
              <w:rPr>
                <w:rFonts w:asciiTheme="majorHAnsi" w:hAnsiTheme="majorHAnsi"/>
                <w:lang w:eastAsia="ko-KR"/>
              </w:rPr>
              <w:t>Sektör kuruluşları</w:t>
            </w:r>
            <w:r>
              <w:rPr>
                <w:rFonts w:asciiTheme="majorHAnsi" w:hAnsiTheme="majorHAnsi"/>
                <w:lang w:eastAsia="ko-KR"/>
              </w:rPr>
              <w:t xml:space="preserve"> ile ortak proje ve </w:t>
            </w:r>
            <w:r w:rsidRPr="00F855B2">
              <w:rPr>
                <w:rFonts w:asciiTheme="majorHAnsi" w:hAnsiTheme="majorHAnsi"/>
                <w:lang w:eastAsia="ko-KR"/>
              </w:rPr>
              <w:t>bilimsel çalış</w:t>
            </w:r>
            <w:r>
              <w:rPr>
                <w:rFonts w:asciiTheme="majorHAnsi" w:hAnsiTheme="majorHAnsi"/>
                <w:lang w:eastAsia="ko-KR"/>
              </w:rPr>
              <w:t xml:space="preserve">ma protokolü </w:t>
            </w:r>
            <w:r w:rsidRPr="00F855B2">
              <w:rPr>
                <w:rFonts w:asciiTheme="majorHAnsi" w:hAnsiTheme="majorHAnsi"/>
                <w:lang w:eastAsia="ko-KR"/>
              </w:rPr>
              <w:t>hazırlanması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1FC" w:rsidRPr="00C071FC" w:rsidRDefault="00F855B2" w:rsidP="00EA3BE2">
            <w:pPr>
              <w:autoSpaceDE w:val="0"/>
              <w:autoSpaceDN w:val="0"/>
              <w:adjustRightInd w:val="0"/>
              <w:spacing w:after="0" w:line="300" w:lineRule="exact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 xml:space="preserve">En az 1 adet </w:t>
            </w:r>
            <w:proofErr w:type="spellStart"/>
            <w:r>
              <w:rPr>
                <w:rFonts w:asciiTheme="majorHAnsi" w:hAnsiTheme="majorHAnsi"/>
                <w:lang w:eastAsia="ko-KR"/>
              </w:rPr>
              <w:t>MoU</w:t>
            </w:r>
            <w:proofErr w:type="spellEnd"/>
            <w:r>
              <w:rPr>
                <w:rFonts w:asciiTheme="majorHAnsi" w:hAnsiTheme="majorHAnsi"/>
                <w:lang w:eastAsia="ko-KR"/>
              </w:rPr>
              <w:t xml:space="preserve"> </w:t>
            </w:r>
            <w:r w:rsidRPr="00F855B2">
              <w:rPr>
                <w:rFonts w:asciiTheme="majorHAnsi" w:hAnsiTheme="majorHAnsi"/>
                <w:lang w:eastAsia="ko-KR"/>
              </w:rPr>
              <w:t>imzalanması</w:t>
            </w:r>
          </w:p>
        </w:tc>
      </w:tr>
    </w:tbl>
    <w:p w:rsidR="00C84F26" w:rsidRDefault="00C84F26" w:rsidP="00EA3BE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</w:p>
    <w:p w:rsidR="00EA3BE2" w:rsidRDefault="00EA3BE2" w:rsidP="00EA3BE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</w:p>
    <w:p w:rsidR="00EF6EC2" w:rsidRPr="006C0AF4" w:rsidRDefault="00EA3BE2" w:rsidP="00EA3BE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lastRenderedPageBreak/>
        <w:t>VI</w:t>
      </w:r>
      <w:r w:rsidR="00F63440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I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- MERKEZ’İN 201</w:t>
      </w:r>
      <w:r w:rsidR="00C24811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7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 xml:space="preserve"> YILI İÇİN BELİRTMEK İSTEDİĞİ BAŞKA </w:t>
      </w:r>
      <w:bookmarkStart w:id="0" w:name="_GoBack"/>
      <w:bookmarkEnd w:id="0"/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FAALİYETLER / BAŞARILAR</w:t>
      </w:r>
    </w:p>
    <w:p w:rsidR="00AC4DDE" w:rsidRDefault="00AC4DDE" w:rsidP="00EA3BE2">
      <w:pPr>
        <w:spacing w:after="0" w:line="300" w:lineRule="exact"/>
        <w:rPr>
          <w:rFonts w:asciiTheme="majorHAnsi" w:hAnsiTheme="majorHAnsi"/>
          <w:lang w:eastAsia="ko-KR"/>
        </w:rPr>
      </w:pP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763E8A">
        <w:rPr>
          <w:rFonts w:asciiTheme="majorHAnsi" w:hAnsiTheme="majorHAnsi"/>
          <w:lang w:eastAsia="ko-KR"/>
        </w:rPr>
        <w:t>1. Boğaziçi Üniversitesi Enerji Politikaları Araştırma Merkezi EPAM olarak Tahran Üniversitesi</w:t>
      </w: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763E8A">
        <w:rPr>
          <w:rFonts w:asciiTheme="majorHAnsi" w:hAnsiTheme="majorHAnsi"/>
          <w:lang w:eastAsia="ko-KR"/>
        </w:rPr>
        <w:t>Enerji Yönetimi ve Planlama Araştırma Enstitüsü (RIEMP) ve İran Sanayi ve Ticaret Odası</w:t>
      </w: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763E8A">
        <w:rPr>
          <w:rFonts w:asciiTheme="majorHAnsi" w:hAnsiTheme="majorHAnsi"/>
          <w:lang w:eastAsia="ko-KR"/>
        </w:rPr>
        <w:t>Eğitim Enstitüsü (ICCIMA) ile üçlü bir işbirliği mutabakatı hazırlandı, üniversitenin yetkili</w:t>
      </w: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gramStart"/>
      <w:r w:rsidRPr="00763E8A">
        <w:rPr>
          <w:rFonts w:asciiTheme="majorHAnsi" w:hAnsiTheme="majorHAnsi"/>
          <w:lang w:eastAsia="ko-KR"/>
        </w:rPr>
        <w:t>kurullarınca</w:t>
      </w:r>
      <w:proofErr w:type="gramEnd"/>
      <w:r w:rsidRPr="00763E8A">
        <w:rPr>
          <w:rFonts w:asciiTheme="majorHAnsi" w:hAnsiTheme="majorHAnsi"/>
          <w:lang w:eastAsia="ko-KR"/>
        </w:rPr>
        <w:t xml:space="preserve"> onaylanarak imzalandı. Bu kapsamda düzenlenen ilk ortak Uluslararası Konferans</w:t>
      </w: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gramStart"/>
      <w:r w:rsidRPr="00763E8A">
        <w:rPr>
          <w:rFonts w:asciiTheme="majorHAnsi" w:hAnsiTheme="majorHAnsi"/>
          <w:lang w:eastAsia="ko-KR"/>
        </w:rPr>
        <w:t>bir</w:t>
      </w:r>
      <w:proofErr w:type="gramEnd"/>
      <w:r w:rsidRPr="00763E8A">
        <w:rPr>
          <w:rFonts w:asciiTheme="majorHAnsi" w:hAnsiTheme="majorHAnsi"/>
          <w:lang w:eastAsia="ko-KR"/>
        </w:rPr>
        <w:t xml:space="preserve"> seri olarak devam ettirilmesi öngörülmekte.</w:t>
      </w:r>
    </w:p>
    <w:p w:rsid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763E8A">
        <w:rPr>
          <w:rFonts w:asciiTheme="majorHAnsi" w:hAnsiTheme="majorHAnsi"/>
          <w:lang w:eastAsia="ko-KR"/>
        </w:rPr>
        <w:t>2. Boğaziçi Üniversitesi Endüstri Mühendisliği bünyesinde yürütülen bir TÜBİTAK projesi</w:t>
      </w: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gramStart"/>
      <w:r w:rsidRPr="00763E8A">
        <w:rPr>
          <w:rFonts w:asciiTheme="majorHAnsi" w:hAnsiTheme="majorHAnsi"/>
          <w:lang w:eastAsia="ko-KR"/>
        </w:rPr>
        <w:t>kapsamında</w:t>
      </w:r>
      <w:proofErr w:type="gramEnd"/>
      <w:r w:rsidRPr="00763E8A">
        <w:rPr>
          <w:rFonts w:asciiTheme="majorHAnsi" w:hAnsiTheme="majorHAnsi"/>
          <w:lang w:eastAsia="ko-KR"/>
        </w:rPr>
        <w:t xml:space="preserve"> ve bölümün Enerji Sistemleri Modelleme Laboratuvarında geliştirilen Enerji</w:t>
      </w:r>
    </w:p>
    <w:p w:rsidR="00763E8A" w:rsidRPr="00763E8A" w:rsidRDefault="00763E8A" w:rsidP="00EA3BE2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763E8A">
        <w:rPr>
          <w:rFonts w:asciiTheme="majorHAnsi" w:hAnsiTheme="majorHAnsi"/>
          <w:lang w:eastAsia="ko-KR"/>
        </w:rPr>
        <w:t>Modelleme Sistemi BUEMS tamamlandı. Merkezin bu modelleme sistemi temelinde bilimsel</w:t>
      </w:r>
    </w:p>
    <w:p w:rsidR="00E84285" w:rsidRPr="00C95CC8" w:rsidRDefault="00763E8A" w:rsidP="00EA3BE2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proofErr w:type="gramStart"/>
      <w:r w:rsidRPr="00763E8A">
        <w:rPr>
          <w:rFonts w:asciiTheme="majorHAnsi" w:hAnsiTheme="majorHAnsi"/>
          <w:lang w:eastAsia="ko-KR"/>
        </w:rPr>
        <w:t>çalışmalarını</w:t>
      </w:r>
      <w:proofErr w:type="gramEnd"/>
      <w:r w:rsidRPr="00763E8A">
        <w:rPr>
          <w:rFonts w:asciiTheme="majorHAnsi" w:hAnsiTheme="majorHAnsi"/>
          <w:lang w:eastAsia="ko-KR"/>
        </w:rPr>
        <w:t xml:space="preserve"> geliştirmesi ve düzenli yayınlar üretmesi öngörülmekte.</w:t>
      </w:r>
    </w:p>
    <w:sectPr w:rsidR="00E84285" w:rsidRPr="00C95CC8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36" w:rsidRDefault="00E05D36" w:rsidP="00D9381D">
      <w:pPr>
        <w:spacing w:after="0" w:line="240" w:lineRule="auto"/>
      </w:pPr>
      <w:r>
        <w:separator/>
      </w:r>
    </w:p>
  </w:endnote>
  <w:endnote w:type="continuationSeparator" w:id="0">
    <w:p w:rsidR="00E05D36" w:rsidRDefault="00E05D36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36" w:rsidRDefault="00E05D36" w:rsidP="00D9381D">
      <w:pPr>
        <w:spacing w:after="0" w:line="240" w:lineRule="auto"/>
      </w:pPr>
      <w:r>
        <w:separator/>
      </w:r>
    </w:p>
  </w:footnote>
  <w:footnote w:type="continuationSeparator" w:id="0">
    <w:p w:rsidR="00E05D36" w:rsidRDefault="00E05D36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E562AB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562AB" w:rsidRDefault="00E562A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Enerji Politikaları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7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562AB" w:rsidRDefault="00E562AB" w:rsidP="004D311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7</w:t>
              </w:r>
            </w:p>
          </w:tc>
        </w:sdtContent>
      </w:sdt>
    </w:tr>
  </w:tbl>
  <w:p w:rsidR="00E562AB" w:rsidRDefault="00E562A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6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10"/>
  </w:num>
  <w:num w:numId="12">
    <w:abstractNumId w:val="7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0830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64866"/>
    <w:rsid w:val="000712B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103979"/>
    <w:rsid w:val="00103A39"/>
    <w:rsid w:val="00106F2C"/>
    <w:rsid w:val="00121071"/>
    <w:rsid w:val="001221D1"/>
    <w:rsid w:val="00122FFC"/>
    <w:rsid w:val="00124E27"/>
    <w:rsid w:val="00125B29"/>
    <w:rsid w:val="001262F6"/>
    <w:rsid w:val="00126DB4"/>
    <w:rsid w:val="0013058D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97309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32B6"/>
    <w:rsid w:val="001C48E0"/>
    <w:rsid w:val="001C57B5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1A29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4E5D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656F"/>
    <w:rsid w:val="0076005F"/>
    <w:rsid w:val="00762119"/>
    <w:rsid w:val="007623CA"/>
    <w:rsid w:val="007627B1"/>
    <w:rsid w:val="00763E8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D0D"/>
    <w:rsid w:val="00895934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C5211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4DDE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4F26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4F93"/>
    <w:rsid w:val="00CB572A"/>
    <w:rsid w:val="00CC044E"/>
    <w:rsid w:val="00CC53C8"/>
    <w:rsid w:val="00CD64A4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560F3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B0A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05D36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562AB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94D16"/>
    <w:rsid w:val="00EA0E43"/>
    <w:rsid w:val="00EA3058"/>
    <w:rsid w:val="00EA3BE2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171E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797C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55B2"/>
    <w:rsid w:val="00F865CB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D5D77"/>
    <w:rsid w:val="00FE480E"/>
    <w:rsid w:val="00FE51F3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12F4A9-75FD-4107-85CF-845DB57A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Enerji Politikaları Uygulama ve Araştırma Merkezi</vt:lpstr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Enerji Politikaları Uygulama ve Araştırma Merkezi</dc:title>
  <dc:subject>2017</dc:subject>
  <dc:creator>Gülşen Mutlu</dc:creator>
  <cp:lastModifiedBy>pc1</cp:lastModifiedBy>
  <cp:revision>271</cp:revision>
  <dcterms:created xsi:type="dcterms:W3CDTF">2017-01-30T06:56:00Z</dcterms:created>
  <dcterms:modified xsi:type="dcterms:W3CDTF">2018-05-23T06:46:00Z</dcterms:modified>
</cp:coreProperties>
</file>