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060BF6" w:rsidP="003B47FF">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47FF">
                      <w:rPr>
                        <w:color w:val="548DD4" w:themeColor="text2" w:themeTint="99"/>
                        <w:sz w:val="96"/>
                        <w:szCs w:val="96"/>
                      </w:rPr>
                      <w:t>Arkeometri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060BF6" w:rsidP="00A17E8A">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AA46F8">
                      <w:rPr>
                        <w:b/>
                        <w:sz w:val="96"/>
                        <w:szCs w:val="96"/>
                      </w:rPr>
                      <w:t>2</w:t>
                    </w:r>
                    <w:r w:rsidR="004337C3">
                      <w:rPr>
                        <w:b/>
                        <w:sz w:val="96"/>
                        <w:szCs w:val="96"/>
                      </w:rPr>
                      <w:t>5</w:t>
                    </w:r>
                  </w:sdtContent>
                </w:sdt>
              </w:p>
            </w:tc>
          </w:tr>
          <w:tr w:rsidR="00D9381D" w:rsidRPr="00D6527A">
            <w:trPr>
              <w:trHeight w:val="1152"/>
            </w:trPr>
            <w:tc>
              <w:tcPr>
                <w:tcW w:w="0" w:type="auto"/>
                <w:vAlign w:val="bottom"/>
              </w:tcPr>
              <w:p w:rsidR="00D9381D" w:rsidRPr="00D6527A" w:rsidRDefault="00060BF6"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DA9225C" wp14:editId="4C97F099">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1DCBC637"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BF5FADD" wp14:editId="26A5F5F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5841E6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7D993A4" wp14:editId="0101DA0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7D993A4"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F1674D8" wp14:editId="5B8D59A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D81667B"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8B6845C" wp14:editId="6D00ABF0">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AA46F8">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AA46F8">
      <w:pPr>
        <w:spacing w:after="0" w:line="300" w:lineRule="exact"/>
        <w:rPr>
          <w:rFonts w:asciiTheme="majorHAnsi" w:eastAsia="Calibri" w:hAnsiTheme="majorHAnsi" w:cs="InterstateLight"/>
          <w:lang w:val="de-DE"/>
        </w:rPr>
      </w:pPr>
    </w:p>
    <w:p w:rsidR="004337C3" w:rsidRPr="004337C3" w:rsidRDefault="00AA46F8" w:rsidP="004337C3">
      <w:pPr>
        <w:spacing w:after="240"/>
        <w:jc w:val="both"/>
        <w:rPr>
          <w:rFonts w:asciiTheme="majorHAnsi" w:eastAsia="Times New Roman" w:hAnsiTheme="majorHAnsi" w:cstheme="minorHAnsi"/>
          <w:bCs/>
          <w:lang w:eastAsia="zh-CN"/>
        </w:rPr>
      </w:pPr>
      <w:r w:rsidRPr="004337C3">
        <w:rPr>
          <w:rFonts w:asciiTheme="majorHAnsi" w:eastAsia="Calibri" w:hAnsiTheme="majorHAnsi" w:cstheme="minorHAnsi"/>
          <w:lang w:val="de-DE"/>
        </w:rPr>
        <w:t xml:space="preserve">          </w:t>
      </w:r>
      <w:r w:rsidR="004337C3" w:rsidRPr="004337C3">
        <w:rPr>
          <w:rFonts w:asciiTheme="majorHAnsi" w:eastAsia="Times New Roman" w:hAnsiTheme="majorHAnsi" w:cstheme="minorHAnsi"/>
          <w:bCs/>
          <w:lang w:eastAsia="zh-CN"/>
        </w:rPr>
        <w:t>Boğaziçi Üniversitesi Arkeometri UYGAR Merkezi’nin misyonu, arkeolojik buluntuları disiplinler arası bir yaklaşımla inceleyerek insanlığın kültürel ve teknolojik tarihine ilişkin bilimsel bilgi üretmek ve bu bilgiyi koruma, yorumlama ve aktarma süreçlerine entegre etmektir. Arkeometri; arkeoloji ile fizik, kimya, biyoloji, jeofizik, matematik ve antropoloji gibi temel bilim alanları arasında metodolojik bir köprü kurarak, arkeolojik materyallerin kökeni, üretim teknolojileri, kullanım biçimleri ve zamansal bağlamlarının çok yönlü olarak aydınlatılmasını hedefler.</w:t>
      </w:r>
    </w:p>
    <w:p w:rsidR="004337C3" w:rsidRPr="004337C3" w:rsidRDefault="004337C3" w:rsidP="001E426F">
      <w:pPr>
        <w:spacing w:after="240"/>
        <w:ind w:firstLine="708"/>
        <w:jc w:val="both"/>
        <w:rPr>
          <w:rFonts w:asciiTheme="majorHAnsi" w:hAnsiTheme="majorHAnsi"/>
        </w:rPr>
      </w:pPr>
      <w:r w:rsidRPr="004337C3">
        <w:rPr>
          <w:rFonts w:asciiTheme="majorHAnsi" w:hAnsiTheme="majorHAnsi"/>
        </w:rPr>
        <w:t>Bu kapsamda Merkez, arkeolojik malzemelerin tanımlanması, tarihlendirilmesi ve kaynak bölgelerinin belirlenmesine yönelik kimyasal, biyolojik ve fiziksel analizleri arkeometri biliminin temel alt bileşenleri olarak ele almakta; farklı bilim dallarının sinerjisiyle bütüncül ve yenilikçi araştırma yaklaşımlarını teşvik etmektedir.</w:t>
      </w:r>
    </w:p>
    <w:p w:rsidR="004337C3" w:rsidRPr="004337C3" w:rsidRDefault="004337C3" w:rsidP="001E426F">
      <w:pPr>
        <w:spacing w:after="240"/>
        <w:ind w:firstLine="708"/>
        <w:jc w:val="both"/>
        <w:rPr>
          <w:rFonts w:asciiTheme="majorHAnsi" w:eastAsia="Times New Roman" w:hAnsiTheme="majorHAnsi" w:cs="Arial"/>
          <w:bCs/>
          <w:lang w:eastAsia="zh-CN"/>
        </w:rPr>
      </w:pPr>
      <w:r w:rsidRPr="004337C3">
        <w:rPr>
          <w:rFonts w:asciiTheme="majorHAnsi" w:eastAsia="Times New Roman" w:hAnsiTheme="majorHAnsi" w:cs="Arial"/>
          <w:bCs/>
          <w:lang w:eastAsia="zh-CN"/>
        </w:rPr>
        <w:t>Arkeometri UYGAR Merkezi’nin vizyonu, kültürel mirasın bilimsel temelde korunmasına ve yorumlanmasına katkı sağlayan, ulusal ve uluslararası düzeyde tanınan, öncü bir arkeometri araştırma merkezi olmaktır. Merkez; özgün araştırma projeleri geliştirmeyi, bu projeleri lisansüstü ve lisans öğrencilerinin aktif katılımıyla yürütmeyi ve disiplinler arası eğitim programlarıyla nitelikli insan kaynağı yetiştirmeyi amaçlar.</w:t>
      </w:r>
    </w:p>
    <w:p w:rsidR="004337C3" w:rsidRPr="004337C3" w:rsidRDefault="004337C3" w:rsidP="001E426F">
      <w:pPr>
        <w:spacing w:after="240"/>
        <w:ind w:firstLine="708"/>
        <w:jc w:val="both"/>
        <w:rPr>
          <w:rFonts w:asciiTheme="majorHAnsi" w:eastAsia="Times New Roman" w:hAnsiTheme="majorHAnsi" w:cs="Arial"/>
          <w:bCs/>
          <w:lang w:eastAsia="zh-CN"/>
        </w:rPr>
      </w:pPr>
      <w:r w:rsidRPr="004337C3">
        <w:rPr>
          <w:rFonts w:asciiTheme="majorHAnsi" w:eastAsia="Calibri" w:hAnsiTheme="majorHAnsi" w:cstheme="minorHAnsi"/>
          <w:lang w:val="de-DE"/>
        </w:rPr>
        <w:t>Ayrıca</w:t>
      </w:r>
      <w:r w:rsidRPr="004337C3">
        <w:rPr>
          <w:rFonts w:asciiTheme="majorHAnsi" w:eastAsia="Times New Roman" w:hAnsiTheme="majorHAnsi" w:cs="Arial"/>
          <w:bCs/>
          <w:lang w:eastAsia="zh-CN"/>
        </w:rPr>
        <w:t xml:space="preserve"> elde edilen bilimsel çıktıları yayınlar, seminerler ve akademik-toplumsal etkinlikler aracılığıyla paylaşarak, hem bilim dünyasına hem de toplumun kültürel miras bilincinin gelişimine katkı sağlamayı hedefler. Merkez, arkeolojik geçmişin maddi kalıntılarını ileri analitik yöntemlerle inceleyerek, geçmiş ile günümüz arasında sürdürülebilir ve bilimsel bir bilgi köprüsü kurmayı temel ilke edinir.</w:t>
      </w:r>
    </w:p>
    <w:p w:rsidR="00F9403B" w:rsidRPr="00D25745" w:rsidRDefault="00F9403B" w:rsidP="004337C3">
      <w:pPr>
        <w:spacing w:after="0" w:line="300" w:lineRule="exact"/>
        <w:jc w:val="both"/>
        <w:rPr>
          <w:rFonts w:asciiTheme="majorHAnsi" w:eastAsia="Calibri" w:hAnsiTheme="majorHAnsi" w:cs="InterstateLight"/>
          <w:lang w:val="de-DE"/>
        </w:rPr>
      </w:pPr>
    </w:p>
    <w:p w:rsidR="00220BAD" w:rsidRPr="00D25745" w:rsidRDefault="00522364" w:rsidP="00AA46F8">
      <w:pPr>
        <w:spacing w:after="0" w:line="300" w:lineRule="exact"/>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I</w:t>
      </w:r>
      <w:r w:rsidR="002471B2" w:rsidRPr="00D25745">
        <w:rPr>
          <w:rFonts w:asciiTheme="majorHAnsi" w:eastAsia="Calibri" w:hAnsiTheme="majorHAnsi" w:cs="Times New Roman"/>
          <w:b/>
          <w:color w:val="365F91" w:themeColor="accent1" w:themeShade="BF"/>
          <w:sz w:val="28"/>
          <w:szCs w:val="28"/>
          <w:lang w:eastAsia="tr-TR"/>
        </w:rPr>
        <w:t>I</w:t>
      </w:r>
      <w:r w:rsidRPr="00D25745">
        <w:rPr>
          <w:rFonts w:asciiTheme="majorHAnsi" w:eastAsia="Calibri" w:hAnsiTheme="majorHAnsi" w:cs="Times New Roman"/>
          <w:b/>
          <w:color w:val="365F91" w:themeColor="accent1" w:themeShade="BF"/>
          <w:sz w:val="28"/>
          <w:szCs w:val="28"/>
          <w:lang w:eastAsia="tr-TR"/>
        </w:rPr>
        <w:t>-MERKEZİN TARİHÇESİ, AMACI VE HEDEFLERİ</w:t>
      </w:r>
    </w:p>
    <w:p w:rsidR="00E12E49" w:rsidRPr="00D51A1F" w:rsidRDefault="00E12E49" w:rsidP="00AA46F8">
      <w:pPr>
        <w:spacing w:after="0" w:line="300" w:lineRule="exact"/>
        <w:rPr>
          <w:rFonts w:asciiTheme="majorHAnsi" w:eastAsia="Calibri" w:hAnsiTheme="majorHAnsi" w:cs="Times New Roman"/>
          <w:b/>
          <w:color w:val="365F91" w:themeColor="accent1" w:themeShade="BF"/>
          <w:lang w:eastAsia="tr-TR"/>
        </w:rPr>
      </w:pPr>
    </w:p>
    <w:p w:rsidR="00325B93" w:rsidRPr="00D51A1F" w:rsidRDefault="001262F6" w:rsidP="00D51A1F">
      <w:pPr>
        <w:spacing w:after="240"/>
        <w:jc w:val="both"/>
        <w:rPr>
          <w:rFonts w:asciiTheme="majorHAnsi" w:eastAsia="Times New Roman" w:hAnsiTheme="majorHAnsi" w:cs="Arial"/>
          <w:lang w:eastAsia="zh-CN"/>
        </w:rPr>
      </w:pPr>
      <w:r w:rsidRPr="00D51A1F">
        <w:rPr>
          <w:rFonts w:asciiTheme="majorHAnsi" w:eastAsia="Calibri" w:hAnsiTheme="majorHAnsi" w:cs="InterstateLight"/>
          <w:lang w:val="de-DE"/>
        </w:rPr>
        <w:t xml:space="preserve">          </w:t>
      </w:r>
      <w:r w:rsidR="00325B93" w:rsidRPr="00D51A1F">
        <w:rPr>
          <w:rFonts w:asciiTheme="majorHAnsi" w:eastAsia="Times New Roman" w:hAnsiTheme="majorHAnsi" w:cs="Arial"/>
          <w:lang w:eastAsia="zh-CN"/>
        </w:rPr>
        <w:t>Arkeometri UYGAR Merkezi, 1991 yılında Türkiye’de kurulan ilk arkeometri araştırma merkezlerinden biri olarak faaliyete başlamıştır. Kuruluşundan itibaren Merkez, Boğaziçi Üniversitesi bünyesindeki arkeologlarla yakın iş birliği içinde çalışmış; Türkiye’deki ve uluslararası üniversitelerin arkeoloji bölümleriyle ortak projeler yürüterek disiplinler arası arkeometrik araştırmaların gelişimine öncülük etmiştir.</w:t>
      </w:r>
    </w:p>
    <w:p w:rsidR="00D51A1F" w:rsidRDefault="00325B93" w:rsidP="00D51A1F">
      <w:pPr>
        <w:ind w:firstLine="708"/>
        <w:jc w:val="both"/>
        <w:rPr>
          <w:rFonts w:asciiTheme="majorHAnsi" w:eastAsia="Times New Roman" w:hAnsiTheme="majorHAnsi" w:cs="Arial"/>
          <w:lang w:eastAsia="zh-CN"/>
        </w:rPr>
      </w:pPr>
      <w:r w:rsidRPr="00325B93">
        <w:rPr>
          <w:rFonts w:asciiTheme="majorHAnsi" w:eastAsia="Times New Roman" w:hAnsiTheme="majorHAnsi" w:cs="Arial"/>
          <w:lang w:eastAsia="zh-CN"/>
        </w:rPr>
        <w:t xml:space="preserve">Merkezin erken dönem çalışmalarında Anadolu’nun tarihsel madencilik ve metalürji faaliyetleri temel araştırma odağını oluşturmuştur. Bu kapsamda yürütülen arkeometalürjik çalışmalar, Anadolu kültürlerinin metalürji teknolojilerinin ortaya çıkışı ve gelişiminde insanlık tarihine yön veren bir rol üstlendiğini göstermiştir. Özellikle bakırın cevherden indirgenerek elde edilmesi, M.Ö. 4. ve 3. binyıllarda arsenikli bakır ve tunç teknolojilerinin ortaya çıkışı, Merkezin bilimsel üretiminin merkezinde yer almıştır. Bu birikim, ilerleyen yıllarda Osmanlı Dönemi demir üretim </w:t>
      </w:r>
      <w:r w:rsidRPr="00325B93">
        <w:rPr>
          <w:rFonts w:asciiTheme="majorHAnsi" w:hAnsiTheme="majorHAnsi"/>
          <w:lang w:eastAsia="zh-CN"/>
        </w:rPr>
        <w:t>teknolojilerinin</w:t>
      </w:r>
      <w:r w:rsidRPr="00325B93">
        <w:rPr>
          <w:rFonts w:asciiTheme="majorHAnsi" w:eastAsia="Times New Roman" w:hAnsiTheme="majorHAnsi" w:cs="Arial"/>
          <w:lang w:eastAsia="zh-CN"/>
        </w:rPr>
        <w:t xml:space="preserve"> incelenmesine yönelik araştırmalarla genişletilmiştir.</w:t>
      </w:r>
    </w:p>
    <w:p w:rsidR="00D51A1F" w:rsidRPr="00D51A1F" w:rsidRDefault="00325B93" w:rsidP="00D51A1F">
      <w:pPr>
        <w:spacing w:after="0" w:line="300" w:lineRule="exact"/>
        <w:ind w:firstLine="708"/>
        <w:jc w:val="both"/>
        <w:rPr>
          <w:rFonts w:asciiTheme="majorHAnsi" w:eastAsia="Times New Roman" w:hAnsiTheme="majorHAnsi" w:cs="Arial"/>
          <w:lang w:eastAsia="zh-CN"/>
        </w:rPr>
      </w:pPr>
      <w:r w:rsidRPr="00325B93">
        <w:rPr>
          <w:rFonts w:asciiTheme="majorHAnsi" w:eastAsia="Times New Roman" w:hAnsiTheme="majorHAnsi" w:cs="Arial"/>
          <w:lang w:eastAsia="zh-CN"/>
        </w:rPr>
        <w:t xml:space="preserve">2004 yılından itibaren Merkez laboratuvarlarında arkeolojik çanak çömlekler üzerinde kalıntı analizlerine dayalı yeni bir araştırma ekseni gelişmiş; beslenme arkeolojisi ve biyomoleküler arkeometri Merkezin temel çalışma alanları arasına girmiştir. Gelişen analitik teknikler sayesinde, çanak çömleklerin gözenekli yapısı içinde korunan lipit kalıntılarının </w:t>
      </w:r>
      <w:r w:rsidRPr="00325B93">
        <w:rPr>
          <w:rFonts w:asciiTheme="majorHAnsi" w:eastAsia="Times New Roman" w:hAnsiTheme="majorHAnsi" w:cs="Arial"/>
          <w:lang w:eastAsia="zh-CN"/>
        </w:rPr>
        <w:lastRenderedPageBreak/>
        <w:t>kimyasal ve izotopik analizleri mümkün hale gelmiştir. Hidrofobik özellikleri nedeniyle uzun süre bozulmadan korunabilen bu bileşikler üzerinden karbon ve azot izotop değerleri belirlenerek, tarihöncesi toplulukların beslenme alışkanlıklarına ve üretim pratiklerine dair doğrudan veriler elde edilmiştir.</w:t>
      </w:r>
    </w:p>
    <w:p w:rsidR="00325B93" w:rsidRPr="00D51A1F" w:rsidRDefault="00325B93" w:rsidP="00D51A1F">
      <w:pPr>
        <w:ind w:firstLine="708"/>
        <w:jc w:val="both"/>
        <w:rPr>
          <w:rFonts w:asciiTheme="majorHAnsi" w:hAnsiTheme="majorHAnsi"/>
          <w:lang w:eastAsia="zh-CN"/>
        </w:rPr>
      </w:pPr>
      <w:r w:rsidRPr="00D51A1F">
        <w:rPr>
          <w:rFonts w:asciiTheme="majorHAnsi" w:hAnsiTheme="majorHAnsi"/>
          <w:lang w:eastAsia="zh-CN"/>
        </w:rPr>
        <w:t>Bu çalışmalar, Güneydoğu Anadolu’da avcı-toplayıcı topluluklardan tarım ve hayvancılığa dayalı yerleşik yaşama geçiş sürecinin Batı Anadolu ve Balkanlar üzerinden Avrupa’ya yayılımını izlemeyi amaçlamıştır. Batı Anadolu ve Marmara Bölgesi Neolitik yerleşimlerinden elde edilen çanak çömleklerde hayvansal kökenli lipitlerin saptanması, süt ve süt ürünlerinin insan beslenmesine ne zaman dahil olduğu konusundaki tartışmalara güçlü kanıtlar sunmuştur. Bursa yakınlarındaki Barcın Höyük’ten elde edilen bulgular, süt tüketiminin insanlık tarihinde yaklaşık 8 bin yıl öncesine uzandığını ortaya koyarak Merkezin uluslararası alandaki görünürlüğünü artırmıştır.</w:t>
      </w:r>
    </w:p>
    <w:p w:rsidR="00325B93" w:rsidRPr="00325B93" w:rsidRDefault="00325B93" w:rsidP="00D51A1F">
      <w:pPr>
        <w:ind w:firstLine="708"/>
        <w:jc w:val="both"/>
        <w:rPr>
          <w:rFonts w:asciiTheme="majorHAnsi" w:eastAsia="Times New Roman" w:hAnsiTheme="majorHAnsi" w:cs="Arial"/>
          <w:lang w:eastAsia="zh-CN"/>
        </w:rPr>
      </w:pPr>
      <w:r w:rsidRPr="00325B93">
        <w:rPr>
          <w:rFonts w:asciiTheme="majorHAnsi" w:eastAsia="Times New Roman" w:hAnsiTheme="majorHAnsi" w:cs="Arial"/>
          <w:lang w:eastAsia="zh-CN"/>
        </w:rPr>
        <w:t>Son yıllarda Arkeometri Araştırma Merkezi, klasik arkeometrik yaklaşımları ileri biyolojik ve moleküler yöntemlerle bütünleştirerek önemli bir bilimsel dönüşüm sürecine girmiştir. Bu dönemde Merkez, arkeolojik materyallerin yalnızca inorganik ve organik bileşenlerini değil, aynı zamanda bu materyallerde korunmuş mikrobiyal izleri ve biyolojik kalıntıları da araştırma kapsamına almıştır. Özellikle çanak çömlek, toprak ve diğer arkeolojik yüzeylerde mikrometre ölçeğinde hapsolmuş biyolojik yapıların uzun süreli korunma potansiyeli, Merkezin yeni kuşak arkeometri çalışmalarında temel bir araştırma sorusu haline gelmiştir.</w:t>
      </w:r>
    </w:p>
    <w:p w:rsidR="00325B93" w:rsidRPr="00325B93" w:rsidRDefault="00325B93" w:rsidP="00D51A1F">
      <w:pPr>
        <w:ind w:firstLine="708"/>
        <w:jc w:val="both"/>
        <w:rPr>
          <w:rFonts w:asciiTheme="majorHAnsi" w:eastAsia="Times New Roman" w:hAnsiTheme="majorHAnsi" w:cs="Arial"/>
          <w:lang w:eastAsia="zh-CN"/>
        </w:rPr>
      </w:pPr>
      <w:r w:rsidRPr="00325B93">
        <w:rPr>
          <w:rFonts w:asciiTheme="majorHAnsi" w:eastAsia="Times New Roman" w:hAnsiTheme="majorHAnsi" w:cs="Arial"/>
          <w:lang w:eastAsia="zh-CN"/>
        </w:rPr>
        <w:t>Bu yaklaşım doğrultusunda Merkez, biyomoleküler arkeometri, antik DNA çalışmaları, mikrobiyal kalıntıların analizi ve arkeolojik materyallerde biyolojik süreklilik kavramlarını bir araya getiren özgün projeler geliştirmeye başlamıştır. İnsan–çevre–malzeme etkileşiminin yalnızca teknolojik ve kimyasal boyutlarıyla değil, biyolojik ve mikrobiyal süreklilik perspektifiyle de ele alınması, Merkezin araştırma vizyonunu çağdaş arkeometri anlayışıyla uyumlu hale getirmiştir.</w:t>
      </w:r>
    </w:p>
    <w:p w:rsidR="00325B93" w:rsidRPr="00325B93" w:rsidRDefault="00325B93" w:rsidP="00D51A1F">
      <w:pPr>
        <w:ind w:firstLine="708"/>
        <w:jc w:val="both"/>
        <w:rPr>
          <w:rFonts w:asciiTheme="majorHAnsi" w:eastAsia="Times New Roman" w:hAnsiTheme="majorHAnsi" w:cs="Arial"/>
          <w:lang w:eastAsia="zh-CN"/>
        </w:rPr>
      </w:pPr>
      <w:r w:rsidRPr="00325B93">
        <w:rPr>
          <w:rFonts w:asciiTheme="majorHAnsi" w:eastAsia="Times New Roman" w:hAnsiTheme="majorHAnsi" w:cs="Arial"/>
          <w:lang w:eastAsia="zh-CN"/>
        </w:rPr>
        <w:t>Arkeometri UYGAR Merkezi, arkeoloji ile doğa bilimlerini birleştiren alanlarda temel ve uygulamalı araştırmalar yürütmeyi sürdürmektedir. Kültür–çevre ilişkilerini zaman boyutu içinde ortaya koymaya yönelik yöntemler geliştirmek, bu yöntemleri Türkiye’nin kültür ve çevre tarihi sorunlarına uygulamak ve bu doğrultuda yurtiçi ve yurtdışı kurumlarla ortak araştırma modelleri oluşturmak Merkezin temel hedefleri arasındadır.</w:t>
      </w:r>
    </w:p>
    <w:p w:rsidR="002C3D3B" w:rsidRPr="001E426F" w:rsidRDefault="00325B93" w:rsidP="001E426F">
      <w:pPr>
        <w:ind w:firstLine="708"/>
        <w:jc w:val="both"/>
        <w:rPr>
          <w:rFonts w:asciiTheme="majorHAnsi" w:eastAsia="Times New Roman" w:hAnsiTheme="majorHAnsi" w:cs="Arial"/>
          <w:lang w:eastAsia="zh-CN"/>
        </w:rPr>
      </w:pPr>
      <w:r w:rsidRPr="00325B93">
        <w:rPr>
          <w:rFonts w:asciiTheme="majorHAnsi" w:eastAsia="Times New Roman" w:hAnsiTheme="majorHAnsi" w:cs="Arial"/>
          <w:lang w:eastAsia="zh-CN"/>
        </w:rPr>
        <w:t>Merkez, tarih boyunca insan–çevre–malzeme ilişkilerinin evrimini konu alan araştırma projelerini desteklemekte; elde edilen sonuçları yayınlar, veri tabanları ve eğitsel çıktılar aracılığıyla akademik çevrelerin ve ilgili kurumların kullanımına sunmaktadır. Aynı zamanda bilimsel, kültürel ve eğitsel etkinlikler düzenleyerek kültürel miras bilincinin gelişimine katkı sağlamakta; arkeometri ve ilişkili disiplinlerde dersler vererek disiplinler arası eğitim faaliyetlerini sürdürmektedir.</w:t>
      </w:r>
    </w:p>
    <w:p w:rsidR="002C3D3B" w:rsidRPr="00D25745" w:rsidRDefault="002C3D3B" w:rsidP="00DA53F8">
      <w:pPr>
        <w:spacing w:after="0" w:line="300" w:lineRule="exact"/>
        <w:jc w:val="both"/>
        <w:rPr>
          <w:rFonts w:asciiTheme="majorHAnsi" w:eastAsia="Calibri" w:hAnsiTheme="majorHAnsi" w:cs="InterstateLight"/>
          <w:lang w:val="de-DE"/>
        </w:rPr>
      </w:pPr>
    </w:p>
    <w:p w:rsidR="002471B2" w:rsidRPr="00D25745" w:rsidRDefault="002471B2" w:rsidP="00DA53F8">
      <w:pPr>
        <w:spacing w:after="0" w:line="300" w:lineRule="exact"/>
        <w:jc w:val="both"/>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III-MERKEZİN TEMEL POLİTİKA VE ÖNCELİKLERİ</w:t>
      </w:r>
    </w:p>
    <w:p w:rsidR="00BB60C8" w:rsidRPr="00D25745" w:rsidRDefault="00BB60C8" w:rsidP="00DA53F8">
      <w:pPr>
        <w:spacing w:after="0" w:line="300" w:lineRule="exact"/>
        <w:jc w:val="both"/>
        <w:rPr>
          <w:rFonts w:asciiTheme="majorHAnsi" w:eastAsia="Calibri" w:hAnsiTheme="majorHAnsi" w:cs="InterstateLight"/>
          <w:lang w:val="de-DE"/>
        </w:rPr>
      </w:pPr>
    </w:p>
    <w:p w:rsidR="001E426F" w:rsidRPr="001E426F" w:rsidRDefault="001E426F" w:rsidP="001E426F">
      <w:pPr>
        <w:ind w:firstLine="708"/>
        <w:jc w:val="both"/>
        <w:rPr>
          <w:rFonts w:asciiTheme="majorHAnsi" w:hAnsiTheme="majorHAnsi"/>
          <w:lang w:eastAsia="zh-CN"/>
        </w:rPr>
      </w:pPr>
      <w:r w:rsidRPr="001E426F">
        <w:rPr>
          <w:rFonts w:asciiTheme="majorHAnsi" w:hAnsiTheme="majorHAnsi"/>
          <w:lang w:eastAsia="zh-CN"/>
        </w:rPr>
        <w:t xml:space="preserve">Arkeometri UYGAR Merkezi’nin temel politikası, kültürel mirasın bilimsel yöntemlerle korunması, belgelenmesi ve yorumlanmasına yönelik arkeometrik araştırmaları geliştirmek ve bu alanda disiplinler arası iş birliklerini güçlendirmektir. Merkez, arkeolojik materyaller üzerinde </w:t>
      </w:r>
      <w:r w:rsidRPr="001E426F">
        <w:rPr>
          <w:rFonts w:asciiTheme="majorHAnsi" w:hAnsiTheme="majorHAnsi"/>
          <w:lang w:eastAsia="zh-CN"/>
        </w:rPr>
        <w:lastRenderedPageBreak/>
        <w:t>yürütülen analitik çalışmaların, koruma ve sürdürülebilir kullanım ilkeleriyle uyumlu biçimde gerçekleştirilmesini esas alır.</w:t>
      </w:r>
    </w:p>
    <w:p w:rsidR="001E426F" w:rsidRPr="001E426F" w:rsidRDefault="001E426F" w:rsidP="001E426F">
      <w:pPr>
        <w:ind w:firstLine="708"/>
        <w:jc w:val="both"/>
        <w:rPr>
          <w:rFonts w:asciiTheme="majorHAnsi" w:hAnsiTheme="majorHAnsi"/>
          <w:lang w:eastAsia="zh-CN"/>
        </w:rPr>
      </w:pPr>
      <w:r w:rsidRPr="001E426F">
        <w:rPr>
          <w:rFonts w:asciiTheme="majorHAnsi" w:hAnsiTheme="majorHAnsi"/>
          <w:lang w:eastAsia="zh-CN"/>
        </w:rPr>
        <w:t>Bu doğrultuda Merkez; üniversiteler, müzeler, kazı başkanlıkları ve ilgili kamu kurumlarıyla iş birliği içinde çalışarak, arkeolojik buluntuların tanımlanması, tarihlendirilmesi ve köken analizlerine yönelik bilimsel destek sağlamayı öncelikleri arasında görmektedir. Arkeometrik analizlerin yalnızca sonuç odaklı değil, aynı zamanda koruma bilinci oluşturacak şekilde planlanması Merkezin temel yaklaşımını oluşturmaktadır.</w:t>
      </w:r>
    </w:p>
    <w:p w:rsidR="001E426F" w:rsidRPr="001E426F" w:rsidRDefault="001E426F" w:rsidP="001E426F">
      <w:pPr>
        <w:ind w:firstLine="708"/>
        <w:jc w:val="both"/>
        <w:rPr>
          <w:rFonts w:asciiTheme="majorHAnsi" w:hAnsiTheme="majorHAnsi"/>
          <w:lang w:eastAsia="zh-CN"/>
        </w:rPr>
      </w:pPr>
      <w:r w:rsidRPr="001E426F">
        <w:rPr>
          <w:rFonts w:asciiTheme="majorHAnsi" w:hAnsiTheme="majorHAnsi"/>
          <w:lang w:eastAsia="zh-CN"/>
        </w:rPr>
        <w:t>Merkez, arkeometrik inceleme tekniklerinin yaygınlaştırılmasını ve nitelikli insan kaynağının yetiştirilmesini temel önceliklerinden biri olarak kabul eder. Bu kapsamda, materyal analizlerinde kullanılan kimyasal, fiziksel ve biyomoleküler yöntemler, Araştırma Laboratuvarı bünyesinde akademik personel, araştırmacılar ve öğrencilerle paylaşılmakta; uygulamalı eğitimler ve proje temelli çalışmalarla bilgi aktarımı sağlanmaktadır.</w:t>
      </w:r>
    </w:p>
    <w:p w:rsidR="001E426F" w:rsidRPr="001E426F" w:rsidRDefault="001E426F" w:rsidP="001E426F">
      <w:pPr>
        <w:ind w:firstLine="708"/>
        <w:jc w:val="both"/>
        <w:rPr>
          <w:rFonts w:asciiTheme="majorHAnsi" w:hAnsiTheme="majorHAnsi"/>
          <w:lang w:eastAsia="zh-CN"/>
        </w:rPr>
      </w:pPr>
      <w:r w:rsidRPr="001E426F">
        <w:rPr>
          <w:rFonts w:asciiTheme="majorHAnsi" w:hAnsiTheme="majorHAnsi"/>
          <w:lang w:eastAsia="zh-CN"/>
        </w:rPr>
        <w:t>Ayrıca Merkez, arkeometri alanındaki yöntemsel gelişmeleri yakından takip ederek, yeni analitik tekniklerin laboratuvar altyapısına kazandırılmasını ve mevcut uzmanlığın sürekli güncellenmesini hedefler. Disiplinler arası araştırma kültürünün güçlendirilmesi, ulusal ve uluslararası ortak projelerin teşvik edilmesi ve elde edilen bilimsel çıktının akademik yayınlar ve eğitim faaliyetleri yoluyla paylaşılması, Merkezin temel politika ve öncelikleri arasında yer almaktadır.</w:t>
      </w:r>
    </w:p>
    <w:p w:rsidR="00574475" w:rsidRPr="00D25745" w:rsidRDefault="00574475" w:rsidP="00DA53F8">
      <w:pPr>
        <w:spacing w:after="0" w:line="300" w:lineRule="exact"/>
        <w:jc w:val="both"/>
        <w:rPr>
          <w:rFonts w:asciiTheme="majorHAnsi" w:eastAsia="Calibri" w:hAnsiTheme="majorHAnsi" w:cs="InterstateLight"/>
          <w:lang w:val="de-DE"/>
        </w:rPr>
      </w:pPr>
    </w:p>
    <w:p w:rsidR="00574475" w:rsidRPr="00D25745" w:rsidRDefault="00574475" w:rsidP="00574475">
      <w:pPr>
        <w:spacing w:before="60" w:after="0" w:line="360" w:lineRule="auto"/>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IV-MERKEZDE YETKİ, GÖREV VE SORUMLULUKLAR</w:t>
      </w:r>
    </w:p>
    <w:p w:rsidR="008707A2" w:rsidRPr="008707A2" w:rsidRDefault="008707A2" w:rsidP="008707A2">
      <w:pPr>
        <w:spacing w:after="0" w:line="300" w:lineRule="exact"/>
        <w:ind w:left="426"/>
        <w:contextualSpacing/>
        <w:rPr>
          <w:rFonts w:asciiTheme="majorHAnsi" w:eastAsia="Times New Roman" w:hAnsiTheme="majorHAnsi" w:cs="Times New Roman"/>
          <w:b/>
          <w:sz w:val="24"/>
          <w:szCs w:val="24"/>
          <w:lang w:eastAsia="zh-CN"/>
        </w:rPr>
      </w:pPr>
    </w:p>
    <w:p w:rsidR="008707A2" w:rsidRPr="00D25745" w:rsidRDefault="008707A2" w:rsidP="008707A2">
      <w:pPr>
        <w:numPr>
          <w:ilvl w:val="0"/>
          <w:numId w:val="18"/>
        </w:numPr>
        <w:spacing w:after="0" w:line="300" w:lineRule="exact"/>
        <w:contextualSpacing/>
        <w:rPr>
          <w:rFonts w:asciiTheme="majorHAnsi" w:eastAsia="Times New Roman" w:hAnsiTheme="majorHAnsi" w:cs="Times New Roman"/>
          <w:b/>
          <w:sz w:val="24"/>
          <w:szCs w:val="24"/>
          <w:lang w:eastAsia="zh-CN"/>
        </w:rPr>
      </w:pPr>
      <w:r w:rsidRPr="008707A2">
        <w:rPr>
          <w:rFonts w:asciiTheme="majorHAnsi" w:eastAsia="Times New Roman" w:hAnsiTheme="majorHAnsi" w:cs="Times New Roman"/>
          <w:b/>
          <w:sz w:val="24"/>
          <w:szCs w:val="24"/>
          <w:lang w:eastAsia="zh-CN"/>
        </w:rPr>
        <w:t>Örgüt Yapısı</w:t>
      </w:r>
    </w:p>
    <w:p w:rsidR="008707A2" w:rsidRPr="008707A2" w:rsidRDefault="008707A2" w:rsidP="008707A2">
      <w:pPr>
        <w:spacing w:after="0" w:line="300" w:lineRule="exact"/>
        <w:ind w:left="780"/>
        <w:contextualSpacing/>
        <w:rPr>
          <w:rFonts w:asciiTheme="majorHAnsi" w:eastAsia="Times New Roman" w:hAnsiTheme="majorHAnsi" w:cs="Times New Roman"/>
          <w:b/>
          <w:sz w:val="24"/>
          <w:szCs w:val="24"/>
          <w:lang w:eastAsia="zh-CN"/>
        </w:rPr>
      </w:pPr>
    </w:p>
    <w:p w:rsidR="006C4DFF" w:rsidRPr="006C4DFF" w:rsidRDefault="006C4DFF" w:rsidP="006C4DFF">
      <w:pPr>
        <w:spacing w:after="0" w:line="300" w:lineRule="exact"/>
        <w:jc w:val="both"/>
        <w:rPr>
          <w:rFonts w:asciiTheme="majorHAnsi" w:eastAsia="Times New Roman" w:hAnsiTheme="majorHAnsi" w:cs="Times New Roman"/>
          <w:lang w:eastAsia="zh-CN"/>
        </w:rPr>
      </w:pPr>
      <w:r w:rsidRPr="006C4DFF">
        <w:rPr>
          <w:rFonts w:asciiTheme="majorHAnsi" w:eastAsia="Times New Roman" w:hAnsiTheme="majorHAnsi" w:cs="Times New Roman"/>
          <w:b/>
          <w:bCs/>
          <w:lang w:eastAsia="zh-CN"/>
        </w:rPr>
        <w:t>Merkez Müdürü</w:t>
      </w:r>
      <w:r w:rsidRPr="006C4DFF">
        <w:rPr>
          <w:rFonts w:asciiTheme="majorHAnsi" w:eastAsia="Times New Roman" w:hAnsiTheme="majorHAnsi" w:cs="Times New Roman"/>
          <w:lang w:eastAsia="zh-CN"/>
        </w:rPr>
        <w:t>: Doç. Dr. Ulaş Tezel</w:t>
      </w:r>
    </w:p>
    <w:p w:rsidR="006C4DFF" w:rsidRPr="006C4DFF" w:rsidRDefault="006C4DFF" w:rsidP="006C4DFF">
      <w:pPr>
        <w:spacing w:after="0" w:line="300" w:lineRule="exact"/>
        <w:jc w:val="both"/>
        <w:rPr>
          <w:rFonts w:asciiTheme="majorHAnsi" w:eastAsia="Times New Roman" w:hAnsiTheme="majorHAnsi" w:cs="Times New Roman"/>
          <w:lang w:eastAsia="zh-CN"/>
        </w:rPr>
      </w:pPr>
      <w:r w:rsidRPr="006C4DFF">
        <w:rPr>
          <w:rFonts w:asciiTheme="majorHAnsi" w:eastAsia="Times New Roman" w:hAnsiTheme="majorHAnsi" w:cs="Times New Roman"/>
          <w:b/>
          <w:bCs/>
          <w:lang w:eastAsia="zh-CN"/>
        </w:rPr>
        <w:t>Merkez Müdür Yardımcıları</w:t>
      </w:r>
      <w:r w:rsidRPr="006C4DFF">
        <w:rPr>
          <w:rFonts w:asciiTheme="majorHAnsi" w:eastAsia="Times New Roman" w:hAnsiTheme="majorHAnsi" w:cs="Times New Roman"/>
          <w:lang w:eastAsia="zh-CN"/>
        </w:rPr>
        <w:t>: Dr. Ayla Turkekul-Bıyık</w:t>
      </w:r>
    </w:p>
    <w:p w:rsidR="006C4DFF" w:rsidRPr="006C4DFF" w:rsidRDefault="006C4DFF" w:rsidP="006C4DFF">
      <w:pPr>
        <w:spacing w:after="0" w:line="300" w:lineRule="exact"/>
        <w:jc w:val="both"/>
        <w:rPr>
          <w:rFonts w:asciiTheme="majorHAnsi" w:eastAsia="Times New Roman" w:hAnsiTheme="majorHAnsi" w:cs="Times New Roman"/>
          <w:lang w:eastAsia="zh-CN"/>
        </w:rPr>
      </w:pPr>
      <w:r w:rsidRPr="006C4DFF">
        <w:rPr>
          <w:rFonts w:asciiTheme="majorHAnsi" w:eastAsia="Times New Roman" w:hAnsiTheme="majorHAnsi" w:cs="Times New Roman"/>
          <w:b/>
          <w:bCs/>
          <w:lang w:eastAsia="zh-CN"/>
        </w:rPr>
        <w:t xml:space="preserve">Yönetim Kurulu Üyeleri: </w:t>
      </w:r>
      <w:r w:rsidRPr="006C4DFF">
        <w:rPr>
          <w:rFonts w:asciiTheme="majorHAnsi" w:eastAsia="Times New Roman" w:hAnsiTheme="majorHAnsi" w:cs="Times New Roman"/>
          <w:lang w:eastAsia="zh-CN"/>
        </w:rPr>
        <w:t>Dr. Öğr. Üyesi Arkadaş Özakın, Öğr. Gör. Dr. Burcu Selen Çağlayan, Doç. Dr. Elif Ünlü, Dr. Emre Kuruçayırlı</w:t>
      </w:r>
    </w:p>
    <w:p w:rsidR="00CE6852" w:rsidRPr="00CE6852" w:rsidRDefault="006C4DFF" w:rsidP="00CE6852">
      <w:pPr>
        <w:spacing w:line="240" w:lineRule="auto"/>
        <w:jc w:val="both"/>
        <w:rPr>
          <w:rFonts w:asciiTheme="majorHAnsi" w:eastAsia="Times New Roman" w:hAnsiTheme="majorHAnsi" w:cs="Times New Roman"/>
          <w:lang w:eastAsia="zh-CN"/>
        </w:rPr>
      </w:pPr>
      <w:r w:rsidRPr="006C4DFF">
        <w:rPr>
          <w:rFonts w:asciiTheme="majorHAnsi" w:eastAsia="Times New Roman" w:hAnsiTheme="majorHAnsi" w:cs="Times New Roman"/>
          <w:b/>
          <w:bCs/>
          <w:lang w:eastAsia="zh-CN"/>
        </w:rPr>
        <w:t xml:space="preserve"> Danışma Kurulu Üyeleri: </w:t>
      </w:r>
      <w:r w:rsidRPr="006C4DFF">
        <w:rPr>
          <w:rFonts w:asciiTheme="majorHAnsi" w:eastAsia="Times New Roman" w:hAnsiTheme="majorHAnsi" w:cs="Times New Roman"/>
          <w:lang w:eastAsia="zh-CN"/>
        </w:rPr>
        <w:t>Dr. Öğr. Üyesi Mehmet Fırat İlker, Doç. Dr. Rana Özbal (Koç Üniversitesi)</w:t>
      </w:r>
    </w:p>
    <w:p w:rsidR="00374DCD" w:rsidRPr="00D25745" w:rsidRDefault="00374DCD" w:rsidP="00F9403B">
      <w:pPr>
        <w:tabs>
          <w:tab w:val="left" w:pos="2835"/>
        </w:tabs>
        <w:autoSpaceDE w:val="0"/>
        <w:autoSpaceDN w:val="0"/>
        <w:adjustRightInd w:val="0"/>
        <w:spacing w:after="0" w:line="300" w:lineRule="exact"/>
        <w:rPr>
          <w:rFonts w:asciiTheme="majorHAnsi" w:eastAsia="Calibri" w:hAnsiTheme="majorHAnsi" w:cs="Times New Roman"/>
          <w:b/>
          <w:color w:val="365F91" w:themeColor="accent1" w:themeShade="BF"/>
          <w:sz w:val="28"/>
          <w:szCs w:val="28"/>
          <w:lang w:eastAsia="tr-TR"/>
        </w:rPr>
      </w:pPr>
    </w:p>
    <w:p w:rsidR="00AB3DF6" w:rsidRPr="00D25745" w:rsidRDefault="007766A0" w:rsidP="00AB3DF6">
      <w:pPr>
        <w:spacing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w:t>
      </w:r>
      <w:r w:rsidR="00AB3DF6" w:rsidRPr="00D25745">
        <w:rPr>
          <w:rFonts w:asciiTheme="majorHAnsi" w:eastAsia="Calibri" w:hAnsiTheme="majorHAnsi" w:cs="Times New Roman"/>
          <w:b/>
          <w:color w:val="365F91" w:themeColor="accent1" w:themeShade="BF"/>
          <w:sz w:val="28"/>
          <w:szCs w:val="28"/>
          <w:lang w:eastAsia="tr-TR"/>
        </w:rPr>
        <w:t>-ARAŞTIRMA LABORATUVARLARI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7"/>
        <w:gridCol w:w="1259"/>
        <w:gridCol w:w="985"/>
        <w:gridCol w:w="2301"/>
      </w:tblGrid>
      <w:tr w:rsidR="00AB3DF6" w:rsidRPr="00D25745" w:rsidTr="0010008E">
        <w:trPr>
          <w:trHeight w:val="499"/>
          <w:jc w:val="center"/>
        </w:trPr>
        <w:tc>
          <w:tcPr>
            <w:tcW w:w="4517" w:type="dxa"/>
            <w:shd w:val="clear" w:color="auto" w:fill="auto"/>
            <w:noWrap/>
            <w:vAlign w:val="center"/>
          </w:tcPr>
          <w:p w:rsidR="00AB3DF6" w:rsidRPr="00052E3E" w:rsidRDefault="00AB3DF6" w:rsidP="00AB3DF6">
            <w:pPr>
              <w:spacing w:after="0" w:line="300" w:lineRule="exact"/>
              <w:rPr>
                <w:rFonts w:ascii="Cambria" w:eastAsia="Calibri" w:hAnsi="Cambria" w:cs="InterstateLight"/>
                <w:b/>
                <w:lang w:val="de-DE"/>
              </w:rPr>
            </w:pPr>
            <w:r w:rsidRPr="00052E3E">
              <w:rPr>
                <w:rFonts w:ascii="Cambria" w:eastAsia="Calibri" w:hAnsi="Cambria" w:cs="InterstateLight"/>
                <w:b/>
                <w:lang w:val="de-DE"/>
              </w:rPr>
              <w:t>Laboratuvar Adı</w:t>
            </w:r>
          </w:p>
        </w:tc>
        <w:tc>
          <w:tcPr>
            <w:tcW w:w="1259" w:type="dxa"/>
            <w:shd w:val="clear" w:color="auto" w:fill="auto"/>
            <w:vAlign w:val="center"/>
          </w:tcPr>
          <w:p w:rsidR="00AB3DF6" w:rsidRPr="00052E3E" w:rsidRDefault="00AB3DF6" w:rsidP="00AB3DF6">
            <w:pPr>
              <w:spacing w:after="0" w:line="300" w:lineRule="exact"/>
              <w:rPr>
                <w:rFonts w:ascii="Cambria" w:eastAsia="Calibri" w:hAnsi="Cambria" w:cs="InterstateLight"/>
                <w:b/>
                <w:lang w:val="de-DE"/>
              </w:rPr>
            </w:pPr>
            <w:r w:rsidRPr="00052E3E">
              <w:rPr>
                <w:rFonts w:ascii="Cambria" w:eastAsia="Calibri" w:hAnsi="Cambria" w:cs="InterstateLight"/>
                <w:b/>
                <w:lang w:val="de-DE"/>
              </w:rPr>
              <w:t>Bulunduğu Kampüs</w:t>
            </w:r>
          </w:p>
        </w:tc>
        <w:tc>
          <w:tcPr>
            <w:tcW w:w="985" w:type="dxa"/>
            <w:shd w:val="clear" w:color="auto" w:fill="auto"/>
            <w:vAlign w:val="center"/>
          </w:tcPr>
          <w:p w:rsidR="00AB3DF6" w:rsidRPr="00052E3E" w:rsidRDefault="00AB3DF6" w:rsidP="00AB3DF6">
            <w:pPr>
              <w:spacing w:after="0" w:line="300" w:lineRule="exact"/>
              <w:rPr>
                <w:rFonts w:ascii="Cambria" w:eastAsia="Calibri" w:hAnsi="Cambria" w:cs="InterstateLight"/>
                <w:b/>
                <w:lang w:val="de-DE"/>
              </w:rPr>
            </w:pPr>
            <w:r w:rsidRPr="00052E3E">
              <w:rPr>
                <w:rFonts w:ascii="Cambria" w:eastAsia="Calibri" w:hAnsi="Cambria" w:cs="InterstateLight"/>
                <w:b/>
                <w:lang w:val="de-DE"/>
              </w:rPr>
              <w:t>M</w:t>
            </w:r>
            <w:r w:rsidRPr="00052E3E">
              <w:rPr>
                <w:rFonts w:ascii="Cambria" w:eastAsia="Calibri" w:hAnsi="Cambria" w:cs="InterstateLight"/>
                <w:b/>
                <w:vertAlign w:val="superscript"/>
                <w:lang w:val="de-DE"/>
              </w:rPr>
              <w:t>2</w:t>
            </w:r>
          </w:p>
        </w:tc>
        <w:tc>
          <w:tcPr>
            <w:tcW w:w="2301" w:type="dxa"/>
            <w:shd w:val="clear" w:color="auto" w:fill="auto"/>
          </w:tcPr>
          <w:p w:rsidR="00AB3DF6" w:rsidRPr="00052E3E" w:rsidRDefault="00AB3DF6" w:rsidP="00AB3DF6">
            <w:pPr>
              <w:spacing w:after="0" w:line="300" w:lineRule="exact"/>
              <w:rPr>
                <w:rFonts w:ascii="Cambria" w:eastAsia="Calibri" w:hAnsi="Cambria" w:cs="InterstateLight"/>
                <w:b/>
                <w:lang w:val="de-DE"/>
              </w:rPr>
            </w:pPr>
            <w:r w:rsidRPr="00052E3E">
              <w:rPr>
                <w:rFonts w:ascii="Cambria" w:eastAsia="Calibri" w:hAnsi="Cambria" w:cs="InterstateLight"/>
                <w:b/>
                <w:lang w:val="de-DE"/>
              </w:rPr>
              <w:t>Amacı</w:t>
            </w:r>
          </w:p>
          <w:p w:rsidR="00AB3DF6" w:rsidRPr="00052E3E" w:rsidRDefault="00AB3DF6" w:rsidP="00AB3DF6">
            <w:pPr>
              <w:spacing w:after="0" w:line="300" w:lineRule="exact"/>
              <w:rPr>
                <w:rFonts w:ascii="Cambria" w:eastAsia="Calibri" w:hAnsi="Cambria" w:cs="InterstateLight"/>
                <w:b/>
                <w:lang w:val="de-DE"/>
              </w:rPr>
            </w:pPr>
            <w:r w:rsidRPr="00052E3E">
              <w:rPr>
                <w:rFonts w:ascii="Cambria" w:eastAsia="Calibri" w:hAnsi="Cambria" w:cs="InterstateLight"/>
                <w:b/>
                <w:lang w:val="de-DE"/>
              </w:rPr>
              <w:t>(Araştırma/Eğitim)</w:t>
            </w:r>
          </w:p>
        </w:tc>
      </w:tr>
      <w:tr w:rsidR="0010008E" w:rsidRPr="00D25745" w:rsidTr="008319C0">
        <w:trPr>
          <w:trHeight w:val="499"/>
          <w:jc w:val="center"/>
        </w:trPr>
        <w:tc>
          <w:tcPr>
            <w:tcW w:w="4517" w:type="dxa"/>
            <w:shd w:val="clear" w:color="auto" w:fill="auto"/>
            <w:noWrap/>
          </w:tcPr>
          <w:p w:rsidR="0010008E" w:rsidRPr="00052E3E" w:rsidRDefault="0010008E" w:rsidP="0010008E">
            <w:pPr>
              <w:spacing w:after="0" w:line="300" w:lineRule="exact"/>
              <w:rPr>
                <w:rFonts w:ascii="Cambria" w:hAnsi="Cambria" w:cs="Times New Roman"/>
                <w:bCs/>
              </w:rPr>
            </w:pPr>
            <w:r w:rsidRPr="00052E3E">
              <w:rPr>
                <w:rFonts w:ascii="Cambria" w:hAnsi="Cambria" w:cs="Times New Roman"/>
                <w:bCs/>
              </w:rPr>
              <w:t>Boğaziçi Üniversitesi Arkeometri Araştırma Merkezi</w:t>
            </w:r>
          </w:p>
        </w:tc>
        <w:tc>
          <w:tcPr>
            <w:tcW w:w="1259" w:type="dxa"/>
            <w:shd w:val="clear" w:color="auto" w:fill="auto"/>
          </w:tcPr>
          <w:p w:rsidR="0010008E" w:rsidRPr="00052E3E" w:rsidRDefault="0010008E" w:rsidP="0010008E">
            <w:pPr>
              <w:spacing w:after="0" w:line="300" w:lineRule="exact"/>
              <w:rPr>
                <w:rFonts w:ascii="Cambria" w:hAnsi="Cambria" w:cs="Times New Roman"/>
                <w:bCs/>
              </w:rPr>
            </w:pPr>
            <w:r w:rsidRPr="00052E3E">
              <w:rPr>
                <w:rFonts w:ascii="Cambria" w:hAnsi="Cambria" w:cs="Times New Roman"/>
                <w:bCs/>
              </w:rPr>
              <w:t>Kuzey Kampus Kare Blok</w:t>
            </w:r>
          </w:p>
        </w:tc>
        <w:tc>
          <w:tcPr>
            <w:tcW w:w="985" w:type="dxa"/>
            <w:shd w:val="clear" w:color="auto" w:fill="auto"/>
            <w:vAlign w:val="bottom"/>
          </w:tcPr>
          <w:p w:rsidR="0010008E" w:rsidRPr="00052E3E" w:rsidRDefault="0010008E" w:rsidP="0010008E">
            <w:pPr>
              <w:spacing w:after="0" w:line="300" w:lineRule="exact"/>
              <w:rPr>
                <w:rFonts w:ascii="Cambria" w:hAnsi="Cambria" w:cs="Times New Roman"/>
                <w:bCs/>
              </w:rPr>
            </w:pPr>
            <w:r w:rsidRPr="00052E3E">
              <w:rPr>
                <w:rFonts w:ascii="Cambria" w:hAnsi="Cambria" w:cs="Times New Roman"/>
                <w:bCs/>
              </w:rPr>
              <w:t>30 m2</w:t>
            </w:r>
          </w:p>
        </w:tc>
        <w:tc>
          <w:tcPr>
            <w:tcW w:w="2301" w:type="dxa"/>
            <w:shd w:val="clear" w:color="auto" w:fill="auto"/>
          </w:tcPr>
          <w:p w:rsidR="0010008E" w:rsidRPr="00052E3E" w:rsidRDefault="007766A0" w:rsidP="0010008E">
            <w:pPr>
              <w:spacing w:after="0" w:line="300" w:lineRule="exact"/>
              <w:rPr>
                <w:rFonts w:ascii="Cambria" w:hAnsi="Cambria" w:cs="Times New Roman"/>
                <w:bCs/>
              </w:rPr>
            </w:pPr>
            <w:r w:rsidRPr="007766A0">
              <w:rPr>
                <w:rFonts w:asciiTheme="majorHAnsi" w:hAnsiTheme="majorHAnsi" w:cs="Arial"/>
                <w:bCs/>
              </w:rPr>
              <w:t>Araştırma</w:t>
            </w:r>
          </w:p>
        </w:tc>
      </w:tr>
      <w:tr w:rsidR="007766A0" w:rsidRPr="00D25745" w:rsidTr="00334BB8">
        <w:trPr>
          <w:trHeight w:val="1008"/>
          <w:jc w:val="center"/>
        </w:trPr>
        <w:tc>
          <w:tcPr>
            <w:tcW w:w="4517" w:type="dxa"/>
            <w:noWrap/>
            <w:vAlign w:val="bottom"/>
          </w:tcPr>
          <w:p w:rsidR="007766A0" w:rsidRPr="007766A0" w:rsidRDefault="007766A0" w:rsidP="007766A0">
            <w:pPr>
              <w:rPr>
                <w:rFonts w:asciiTheme="majorHAnsi" w:hAnsiTheme="majorHAnsi" w:cs="Arial"/>
                <w:bCs/>
              </w:rPr>
            </w:pPr>
            <w:r w:rsidRPr="007766A0">
              <w:rPr>
                <w:rFonts w:asciiTheme="majorHAnsi" w:hAnsiTheme="majorHAnsi" w:cs="Arial"/>
                <w:bCs/>
              </w:rPr>
              <w:t>Çevre Mikrobiyolojisi ve Biyoteknoloji Labı</w:t>
            </w:r>
          </w:p>
        </w:tc>
        <w:tc>
          <w:tcPr>
            <w:tcW w:w="1259" w:type="dxa"/>
          </w:tcPr>
          <w:p w:rsidR="007766A0" w:rsidRPr="007766A0" w:rsidRDefault="007766A0" w:rsidP="007766A0">
            <w:pPr>
              <w:rPr>
                <w:rFonts w:asciiTheme="majorHAnsi" w:hAnsiTheme="majorHAnsi" w:cs="Arial"/>
                <w:bCs/>
              </w:rPr>
            </w:pPr>
            <w:r w:rsidRPr="007766A0">
              <w:rPr>
                <w:rFonts w:asciiTheme="majorHAnsi" w:hAnsiTheme="majorHAnsi" w:cs="Arial"/>
                <w:bCs/>
              </w:rPr>
              <w:t>Hisar Kampüs, Sarıtepe Kampüsü</w:t>
            </w:r>
          </w:p>
        </w:tc>
        <w:tc>
          <w:tcPr>
            <w:tcW w:w="985" w:type="dxa"/>
            <w:vAlign w:val="bottom"/>
          </w:tcPr>
          <w:p w:rsidR="007766A0" w:rsidRPr="007766A0" w:rsidRDefault="007766A0" w:rsidP="007766A0">
            <w:pPr>
              <w:rPr>
                <w:rFonts w:asciiTheme="majorHAnsi" w:hAnsiTheme="majorHAnsi" w:cs="Arial"/>
                <w:bCs/>
              </w:rPr>
            </w:pPr>
            <w:r w:rsidRPr="007766A0">
              <w:rPr>
                <w:rFonts w:asciiTheme="majorHAnsi" w:hAnsiTheme="majorHAnsi" w:cs="Arial"/>
                <w:bCs/>
              </w:rPr>
              <w:t>20 m</w:t>
            </w:r>
            <w:r w:rsidRPr="007766A0">
              <w:rPr>
                <w:rFonts w:asciiTheme="majorHAnsi" w:hAnsiTheme="majorHAnsi" w:cs="Arial"/>
                <w:bCs/>
                <w:vertAlign w:val="superscript"/>
              </w:rPr>
              <w:t>2</w:t>
            </w:r>
            <w:r w:rsidRPr="007766A0">
              <w:rPr>
                <w:rFonts w:asciiTheme="majorHAnsi" w:hAnsiTheme="majorHAnsi" w:cs="Arial"/>
                <w:bCs/>
              </w:rPr>
              <w:t>, 100 m</w:t>
            </w:r>
            <w:r w:rsidRPr="007766A0">
              <w:rPr>
                <w:rFonts w:asciiTheme="majorHAnsi" w:hAnsiTheme="majorHAnsi" w:cs="Arial"/>
                <w:bCs/>
                <w:vertAlign w:val="superscript"/>
              </w:rPr>
              <w:t>2</w:t>
            </w:r>
          </w:p>
        </w:tc>
        <w:tc>
          <w:tcPr>
            <w:tcW w:w="2301" w:type="dxa"/>
          </w:tcPr>
          <w:p w:rsidR="007766A0" w:rsidRPr="007766A0" w:rsidRDefault="007766A0" w:rsidP="007766A0">
            <w:pPr>
              <w:rPr>
                <w:rFonts w:asciiTheme="majorHAnsi" w:hAnsiTheme="majorHAnsi" w:cs="Arial"/>
                <w:bCs/>
              </w:rPr>
            </w:pPr>
            <w:r w:rsidRPr="007766A0">
              <w:rPr>
                <w:rFonts w:asciiTheme="majorHAnsi" w:hAnsiTheme="majorHAnsi" w:cs="Arial"/>
                <w:bCs/>
              </w:rPr>
              <w:t>Araştırma</w:t>
            </w:r>
          </w:p>
        </w:tc>
      </w:tr>
    </w:tbl>
    <w:p w:rsidR="00B623ED" w:rsidRDefault="00B623ED" w:rsidP="00B623ED">
      <w:pPr>
        <w:spacing w:after="0" w:line="240" w:lineRule="exact"/>
        <w:rPr>
          <w:rFonts w:asciiTheme="majorHAnsi" w:eastAsia="Calibri" w:hAnsiTheme="majorHAnsi" w:cs="Times New Roman"/>
          <w:b/>
          <w:color w:val="365F91" w:themeColor="accent1" w:themeShade="BF"/>
          <w:sz w:val="28"/>
          <w:szCs w:val="28"/>
          <w:lang w:eastAsia="tr-TR"/>
        </w:rPr>
      </w:pPr>
    </w:p>
    <w:p w:rsidR="00E716F7" w:rsidRDefault="00E716F7" w:rsidP="00B623ED">
      <w:pPr>
        <w:spacing w:after="0" w:line="240" w:lineRule="exact"/>
        <w:rPr>
          <w:rFonts w:asciiTheme="majorHAnsi" w:eastAsia="Calibri" w:hAnsiTheme="majorHAnsi" w:cs="Times New Roman"/>
          <w:b/>
          <w:color w:val="365F91" w:themeColor="accent1" w:themeShade="BF"/>
          <w:sz w:val="28"/>
          <w:szCs w:val="28"/>
          <w:lang w:eastAsia="tr-TR"/>
        </w:rPr>
      </w:pPr>
    </w:p>
    <w:p w:rsidR="00E716F7" w:rsidRPr="00E716F7" w:rsidRDefault="00E716F7" w:rsidP="00E716F7">
      <w:pPr>
        <w:spacing w:after="0" w:line="360" w:lineRule="auto"/>
        <w:rPr>
          <w:rFonts w:asciiTheme="majorHAnsi" w:hAnsiTheme="majorHAnsi" w:cs="Arial"/>
          <w:b/>
          <w:color w:val="365F91" w:themeColor="accent1" w:themeShade="BF"/>
          <w:sz w:val="28"/>
          <w:szCs w:val="28"/>
        </w:rPr>
      </w:pPr>
      <w:r>
        <w:rPr>
          <w:rFonts w:asciiTheme="majorHAnsi" w:hAnsiTheme="majorHAnsi" w:cs="Arial"/>
          <w:b/>
          <w:color w:val="365F91" w:themeColor="accent1" w:themeShade="BF"/>
          <w:sz w:val="28"/>
          <w:szCs w:val="28"/>
        </w:rPr>
        <w:t xml:space="preserve">VI. </w:t>
      </w:r>
      <w:r w:rsidRPr="00E716F7">
        <w:rPr>
          <w:rFonts w:asciiTheme="majorHAnsi" w:hAnsiTheme="majorHAnsi" w:cs="Arial"/>
          <w:b/>
          <w:color w:val="365F91" w:themeColor="accent1" w:themeShade="BF"/>
          <w:sz w:val="28"/>
          <w:szCs w:val="28"/>
        </w:rPr>
        <w:t>TOPLUMA HİZMET</w:t>
      </w:r>
    </w:p>
    <w:p w:rsidR="00E716F7" w:rsidRPr="00E716F7" w:rsidRDefault="00E716F7" w:rsidP="00E716F7">
      <w:pPr>
        <w:spacing w:before="60" w:after="240"/>
        <w:ind w:firstLine="708"/>
        <w:jc w:val="both"/>
        <w:rPr>
          <w:rFonts w:asciiTheme="majorHAnsi" w:hAnsiTheme="majorHAnsi" w:cs="Arial"/>
          <w:bCs/>
        </w:rPr>
      </w:pPr>
      <w:r w:rsidRPr="00E716F7">
        <w:rPr>
          <w:rFonts w:asciiTheme="majorHAnsi" w:hAnsiTheme="majorHAnsi" w:cs="Arial"/>
          <w:bCs/>
        </w:rPr>
        <w:t>Rapor yılı içerisinde Arkeometri UYGAR Merkezi tarafından yürütülen topluma hizmet faaliyetleri, bilimsel bilginin toplumla paylaşılması, kültürel miras bilincinin geliştirilmesi ve sürdürülebilirlik odaklı farkındalık oluşturulması hedefleri doğrultusunda gerçekleştirilmiştir. Bu kapsamda Merkez, arkeolojik ve çevresel araştırmalardan elde edilen bilimsel bulguları seminerler, söyleşiler ve eğitim amaçlı etkinlikler aracılığıyla akademik çevrelerin yanı sıra daha geniş bir toplumsal kesimin erişimine sunmaktadır.</w:t>
      </w:r>
    </w:p>
    <w:p w:rsidR="00E716F7" w:rsidRPr="00E716F7" w:rsidRDefault="00E716F7" w:rsidP="00E716F7">
      <w:pPr>
        <w:spacing w:before="60" w:after="240"/>
        <w:ind w:firstLine="708"/>
        <w:jc w:val="both"/>
        <w:rPr>
          <w:rFonts w:asciiTheme="majorHAnsi" w:hAnsiTheme="majorHAnsi" w:cs="Arial"/>
          <w:bCs/>
        </w:rPr>
      </w:pPr>
      <w:r w:rsidRPr="00E716F7">
        <w:rPr>
          <w:rFonts w:asciiTheme="majorHAnsi" w:hAnsiTheme="majorHAnsi" w:cs="Arial"/>
          <w:bCs/>
        </w:rPr>
        <w:t>Merkez faaliyetleri, özellikle Sürdürülebilir Kalkınma Hedefleri çerçevesinde Nitelikli Eğitim (SKH 4), Sürdürülebilir Şehirler ve Topluluklar (SKH 11), İklim Eylemi (SKH 13) ve Karasal Yaşamın Korunması (SKH 15) hedefleriyle doğrudan ilişkilidir. Kültürel mirasın bilimsel yöntemlerle korunmasına yönelik çalışmalar, geçmiş toplumların çevreyle kurduğu ilişkilerin anlaşılmasına katkı sağlarken; iklim ve çevresel değişimlere karşı geliştirilen tarihsel uyum stratejilerinin günümüz sorunlarıyla ilişkilendirilmesi, toplumsal farkındalık yaratmayı amaçlamaktadır.</w:t>
      </w:r>
    </w:p>
    <w:p w:rsidR="00E716F7" w:rsidRPr="002C5ABC" w:rsidRDefault="00E716F7" w:rsidP="002C5ABC">
      <w:pPr>
        <w:spacing w:before="60" w:after="240"/>
        <w:ind w:firstLine="708"/>
        <w:jc w:val="both"/>
        <w:rPr>
          <w:rFonts w:asciiTheme="majorHAnsi" w:hAnsiTheme="majorHAnsi" w:cs="Arial"/>
          <w:bCs/>
        </w:rPr>
      </w:pPr>
      <w:r w:rsidRPr="00E716F7">
        <w:rPr>
          <w:rFonts w:asciiTheme="majorHAnsi" w:hAnsiTheme="majorHAnsi" w:cs="Arial"/>
          <w:bCs/>
        </w:rPr>
        <w:t>Ayrıca Merkez, arkeolojik kazı ekipleri, müzeler ve eğitim kurumlarıyla iş birliği içinde yürüttüğü faaliyetlerle, bilimsel araştırma sonuçlarının uygulamaya ve eğitime aktarılmasını desteklemiş; disiplinler arası yaklaşımı teşvik eden bu çalışmalarla toplumun kültürel ve çevresel sürdürülebilirlik konularında bilinçlenmesine katkıda bulunmuştur.</w:t>
      </w:r>
    </w:p>
    <w:p w:rsidR="00E716F7" w:rsidRPr="00D25745" w:rsidRDefault="00E716F7" w:rsidP="00B623ED">
      <w:pPr>
        <w:spacing w:after="0" w:line="240" w:lineRule="exact"/>
        <w:rPr>
          <w:rFonts w:asciiTheme="majorHAnsi" w:eastAsia="Calibri" w:hAnsiTheme="majorHAnsi" w:cs="Times New Roman"/>
          <w:b/>
          <w:color w:val="365F91" w:themeColor="accent1" w:themeShade="BF"/>
          <w:sz w:val="28"/>
          <w:szCs w:val="28"/>
          <w:lang w:eastAsia="tr-TR"/>
        </w:rPr>
      </w:pPr>
    </w:p>
    <w:p w:rsidR="00670B0B" w:rsidRDefault="00E716F7" w:rsidP="00765AB3">
      <w:pPr>
        <w:spacing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w:t>
      </w:r>
      <w:r w:rsidR="002C5ABC">
        <w:rPr>
          <w:rFonts w:asciiTheme="majorHAnsi" w:eastAsia="Calibri" w:hAnsiTheme="majorHAnsi" w:cs="Times New Roman"/>
          <w:b/>
          <w:color w:val="365F91" w:themeColor="accent1" w:themeShade="BF"/>
          <w:sz w:val="28"/>
          <w:szCs w:val="28"/>
          <w:lang w:eastAsia="tr-TR"/>
        </w:rPr>
        <w:t>I</w:t>
      </w:r>
      <w:r w:rsidR="00434236" w:rsidRPr="00D25745">
        <w:rPr>
          <w:rFonts w:asciiTheme="majorHAnsi" w:eastAsia="Calibri" w:hAnsiTheme="majorHAnsi" w:cs="Times New Roman"/>
          <w:b/>
          <w:color w:val="365F91" w:themeColor="accent1" w:themeShade="BF"/>
          <w:sz w:val="28"/>
          <w:szCs w:val="28"/>
          <w:lang w:eastAsia="tr-TR"/>
        </w:rPr>
        <w:t>-</w:t>
      </w:r>
      <w:r w:rsidR="00765AB3" w:rsidRPr="00D25745">
        <w:rPr>
          <w:rFonts w:asciiTheme="majorHAnsi" w:eastAsia="Times New Roman" w:hAnsiTheme="majorHAnsi" w:cs="Times New Roman"/>
          <w:b/>
          <w:sz w:val="20"/>
          <w:szCs w:val="20"/>
          <w:lang w:eastAsia="zh-CN"/>
        </w:rPr>
        <w:t xml:space="preserve"> </w:t>
      </w:r>
      <w:r w:rsidR="00765AB3" w:rsidRPr="00D25745">
        <w:rPr>
          <w:rFonts w:asciiTheme="majorHAnsi" w:eastAsia="Calibri" w:hAnsiTheme="majorHAnsi" w:cs="Times New Roman"/>
          <w:b/>
          <w:color w:val="365F91" w:themeColor="accent1" w:themeShade="BF"/>
          <w:sz w:val="28"/>
          <w:szCs w:val="28"/>
          <w:lang w:eastAsia="tr-TR"/>
        </w:rPr>
        <w:t>MERKEZ PERSONELİNİN MERKEZ AMAÇLARI ÇERÇEVESİNDE KATILMIŞ OLDUĞU TOPLANTILAR</w:t>
      </w:r>
    </w:p>
    <w:p w:rsidR="002C5ABC" w:rsidRDefault="002C5ABC" w:rsidP="00765AB3">
      <w:pPr>
        <w:spacing w:after="0" w:line="360" w:lineRule="auto"/>
        <w:rPr>
          <w:rFonts w:asciiTheme="majorHAnsi" w:eastAsia="Calibri" w:hAnsiTheme="majorHAnsi" w:cs="Times New Roman"/>
          <w:b/>
          <w:color w:val="365F91" w:themeColor="accent1" w:themeShade="BF"/>
          <w:sz w:val="28"/>
          <w:szCs w:val="28"/>
          <w:lang w:eastAsia="tr-TR"/>
        </w:rPr>
      </w:pPr>
    </w:p>
    <w:tbl>
      <w:tblPr>
        <w:tblW w:w="522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910"/>
        <w:gridCol w:w="1217"/>
        <w:gridCol w:w="25"/>
        <w:gridCol w:w="687"/>
        <w:gridCol w:w="978"/>
        <w:gridCol w:w="829"/>
        <w:gridCol w:w="1245"/>
        <w:gridCol w:w="687"/>
        <w:gridCol w:w="1466"/>
      </w:tblGrid>
      <w:tr w:rsidR="00E716F7" w:rsidRPr="002C5ABC" w:rsidTr="002C5ABC">
        <w:trPr>
          <w:trHeight w:val="314"/>
        </w:trPr>
        <w:tc>
          <w:tcPr>
            <w:tcW w:w="749" w:type="pct"/>
            <w:vMerge w:val="restart"/>
            <w:shd w:val="clear" w:color="auto" w:fill="FFFFFF" w:themeFill="background1"/>
            <w:vAlign w:val="center"/>
          </w:tcPr>
          <w:p w:rsidR="00E716F7" w:rsidRPr="002C5ABC" w:rsidRDefault="00E716F7" w:rsidP="00D370A9">
            <w:pPr>
              <w:tabs>
                <w:tab w:val="left" w:pos="0"/>
              </w:tabs>
              <w:spacing w:after="0" w:line="240" w:lineRule="exact"/>
              <w:rPr>
                <w:rFonts w:asciiTheme="majorHAnsi" w:hAnsiTheme="majorHAnsi" w:cs="Times New Roman"/>
                <w:b/>
              </w:rPr>
            </w:pPr>
            <w:r w:rsidRPr="002C5ABC">
              <w:rPr>
                <w:rFonts w:asciiTheme="majorHAnsi" w:hAnsiTheme="majorHAnsi" w:cs="Times New Roman"/>
                <w:b/>
              </w:rPr>
              <w:t>Faaliyet Türü</w:t>
            </w:r>
          </w:p>
        </w:tc>
        <w:tc>
          <w:tcPr>
            <w:tcW w:w="2017" w:type="pct"/>
            <w:gridSpan w:val="5"/>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b/>
              </w:rPr>
            </w:pPr>
            <w:r w:rsidRPr="002C5ABC">
              <w:rPr>
                <w:rFonts w:asciiTheme="majorHAnsi" w:hAnsiTheme="majorHAnsi" w:cs="Times New Roman"/>
                <w:b/>
              </w:rPr>
              <w:t>Ulusal</w:t>
            </w:r>
          </w:p>
        </w:tc>
        <w:tc>
          <w:tcPr>
            <w:tcW w:w="2234" w:type="pct"/>
            <w:gridSpan w:val="4"/>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b/>
              </w:rPr>
            </w:pPr>
            <w:r w:rsidRPr="002C5ABC">
              <w:rPr>
                <w:rFonts w:asciiTheme="majorHAnsi" w:hAnsiTheme="majorHAnsi" w:cs="Times New Roman"/>
                <w:b/>
              </w:rPr>
              <w:t>Uluslararası</w:t>
            </w:r>
          </w:p>
        </w:tc>
      </w:tr>
      <w:tr w:rsidR="00E716F7" w:rsidRPr="002C5ABC" w:rsidTr="002C5ABC">
        <w:trPr>
          <w:trHeight w:val="314"/>
        </w:trPr>
        <w:tc>
          <w:tcPr>
            <w:tcW w:w="749" w:type="pct"/>
            <w:vMerge/>
            <w:shd w:val="clear" w:color="auto" w:fill="FFFFFF" w:themeFill="background1"/>
            <w:vAlign w:val="center"/>
          </w:tcPr>
          <w:p w:rsidR="00E716F7" w:rsidRPr="002C5ABC" w:rsidRDefault="00E716F7" w:rsidP="00D370A9">
            <w:pPr>
              <w:tabs>
                <w:tab w:val="left" w:pos="0"/>
              </w:tabs>
              <w:spacing w:after="0" w:line="240" w:lineRule="exact"/>
              <w:rPr>
                <w:rFonts w:asciiTheme="majorHAnsi" w:hAnsiTheme="majorHAnsi" w:cs="Times New Roman"/>
                <w:b/>
              </w:rPr>
            </w:pPr>
          </w:p>
        </w:tc>
        <w:tc>
          <w:tcPr>
            <w:tcW w:w="481" w:type="pct"/>
            <w:vMerge w:val="restart"/>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b/>
              </w:rPr>
            </w:pPr>
            <w:r w:rsidRPr="002C5ABC">
              <w:rPr>
                <w:rFonts w:asciiTheme="majorHAnsi" w:hAnsiTheme="majorHAnsi" w:cs="Times New Roman"/>
                <w:b/>
              </w:rPr>
              <w:t>Sayısı</w:t>
            </w:r>
          </w:p>
        </w:tc>
        <w:tc>
          <w:tcPr>
            <w:tcW w:w="1536" w:type="pct"/>
            <w:gridSpan w:val="4"/>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b/>
              </w:rPr>
            </w:pPr>
            <w:r w:rsidRPr="002C5ABC">
              <w:rPr>
                <w:rFonts w:asciiTheme="majorHAnsi" w:hAnsiTheme="majorHAnsi" w:cs="Times New Roman"/>
                <w:b/>
              </w:rPr>
              <w:t>Katılan Personel Sayısı</w:t>
            </w:r>
          </w:p>
        </w:tc>
        <w:tc>
          <w:tcPr>
            <w:tcW w:w="438" w:type="pct"/>
            <w:vMerge w:val="restart"/>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b/>
              </w:rPr>
            </w:pPr>
            <w:r w:rsidRPr="002C5ABC">
              <w:rPr>
                <w:rFonts w:asciiTheme="majorHAnsi" w:hAnsiTheme="majorHAnsi" w:cs="Times New Roman"/>
                <w:b/>
              </w:rPr>
              <w:t>Sayısı</w:t>
            </w:r>
          </w:p>
        </w:tc>
        <w:tc>
          <w:tcPr>
            <w:tcW w:w="1796" w:type="pct"/>
            <w:gridSpan w:val="3"/>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b/>
              </w:rPr>
            </w:pPr>
            <w:r w:rsidRPr="002C5ABC">
              <w:rPr>
                <w:rFonts w:asciiTheme="majorHAnsi" w:hAnsiTheme="majorHAnsi" w:cs="Times New Roman"/>
                <w:b/>
              </w:rPr>
              <w:t>Katılan Personel Sayısı</w:t>
            </w:r>
          </w:p>
        </w:tc>
      </w:tr>
      <w:tr w:rsidR="00E716F7" w:rsidRPr="002C5ABC" w:rsidTr="002C5ABC">
        <w:trPr>
          <w:trHeight w:val="314"/>
        </w:trPr>
        <w:tc>
          <w:tcPr>
            <w:tcW w:w="749" w:type="pct"/>
            <w:vMerge/>
            <w:shd w:val="clear" w:color="auto" w:fill="FFFFFF" w:themeFill="background1"/>
            <w:vAlign w:val="center"/>
          </w:tcPr>
          <w:p w:rsidR="00E716F7" w:rsidRPr="002C5ABC" w:rsidRDefault="00E716F7" w:rsidP="00D370A9">
            <w:pPr>
              <w:tabs>
                <w:tab w:val="left" w:pos="0"/>
              </w:tabs>
              <w:spacing w:after="0" w:line="240" w:lineRule="exact"/>
              <w:rPr>
                <w:rFonts w:asciiTheme="majorHAnsi" w:hAnsiTheme="majorHAnsi" w:cs="Times New Roman"/>
                <w:b/>
              </w:rPr>
            </w:pPr>
          </w:p>
        </w:tc>
        <w:tc>
          <w:tcPr>
            <w:tcW w:w="481" w:type="pct"/>
            <w:vMerge/>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b/>
              </w:rPr>
            </w:pPr>
          </w:p>
        </w:tc>
        <w:tc>
          <w:tcPr>
            <w:tcW w:w="643" w:type="pct"/>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rPr>
            </w:pPr>
            <w:r w:rsidRPr="002C5ABC">
              <w:rPr>
                <w:rFonts w:asciiTheme="majorHAnsi" w:hAnsiTheme="majorHAnsi" w:cs="Times New Roman"/>
              </w:rPr>
              <w:t>Akademik</w:t>
            </w:r>
          </w:p>
        </w:tc>
        <w:tc>
          <w:tcPr>
            <w:tcW w:w="376" w:type="pct"/>
            <w:gridSpan w:val="2"/>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rPr>
            </w:pPr>
            <w:r w:rsidRPr="002C5ABC">
              <w:rPr>
                <w:rFonts w:asciiTheme="majorHAnsi" w:hAnsiTheme="majorHAnsi" w:cs="Times New Roman"/>
              </w:rPr>
              <w:t>İdari</w:t>
            </w:r>
          </w:p>
        </w:tc>
        <w:tc>
          <w:tcPr>
            <w:tcW w:w="517" w:type="pct"/>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rPr>
            </w:pPr>
            <w:r w:rsidRPr="002C5ABC">
              <w:rPr>
                <w:rFonts w:asciiTheme="majorHAnsi" w:hAnsiTheme="majorHAnsi" w:cs="Times New Roman"/>
              </w:rPr>
              <w:t>Toplam</w:t>
            </w:r>
          </w:p>
        </w:tc>
        <w:tc>
          <w:tcPr>
            <w:tcW w:w="438" w:type="pct"/>
            <w:vMerge/>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rPr>
            </w:pPr>
          </w:p>
        </w:tc>
        <w:tc>
          <w:tcPr>
            <w:tcW w:w="658" w:type="pct"/>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rPr>
            </w:pPr>
            <w:r w:rsidRPr="002C5ABC">
              <w:rPr>
                <w:rFonts w:asciiTheme="majorHAnsi" w:hAnsiTheme="majorHAnsi" w:cs="Times New Roman"/>
              </w:rPr>
              <w:t>Akademik</w:t>
            </w:r>
          </w:p>
        </w:tc>
        <w:tc>
          <w:tcPr>
            <w:tcW w:w="363" w:type="pct"/>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rPr>
            </w:pPr>
            <w:r w:rsidRPr="002C5ABC">
              <w:rPr>
                <w:rFonts w:asciiTheme="majorHAnsi" w:hAnsiTheme="majorHAnsi" w:cs="Times New Roman"/>
              </w:rPr>
              <w:t>İdari</w:t>
            </w:r>
          </w:p>
        </w:tc>
        <w:tc>
          <w:tcPr>
            <w:tcW w:w="775" w:type="pct"/>
            <w:shd w:val="clear" w:color="auto" w:fill="FFFFFF" w:themeFill="background1"/>
            <w:vAlign w:val="center"/>
          </w:tcPr>
          <w:p w:rsidR="00E716F7" w:rsidRPr="002C5ABC" w:rsidRDefault="00E716F7" w:rsidP="00D370A9">
            <w:pPr>
              <w:spacing w:after="0" w:line="240" w:lineRule="exact"/>
              <w:jc w:val="center"/>
              <w:rPr>
                <w:rFonts w:asciiTheme="majorHAnsi" w:hAnsiTheme="majorHAnsi" w:cs="Times New Roman"/>
              </w:rPr>
            </w:pPr>
            <w:r w:rsidRPr="002C5ABC">
              <w:rPr>
                <w:rFonts w:asciiTheme="majorHAnsi" w:hAnsiTheme="majorHAnsi" w:cs="Times New Roman"/>
              </w:rPr>
              <w:t>Toplam</w:t>
            </w:r>
          </w:p>
        </w:tc>
      </w:tr>
      <w:tr w:rsidR="00E716F7" w:rsidRPr="002C5ABC" w:rsidTr="00D370A9">
        <w:trPr>
          <w:trHeight w:val="370"/>
        </w:trPr>
        <w:tc>
          <w:tcPr>
            <w:tcW w:w="749" w:type="pct"/>
            <w:shd w:val="clear" w:color="auto" w:fill="auto"/>
          </w:tcPr>
          <w:p w:rsidR="00E716F7" w:rsidRPr="002C5ABC" w:rsidRDefault="00E716F7" w:rsidP="00D370A9">
            <w:pPr>
              <w:tabs>
                <w:tab w:val="left" w:pos="0"/>
              </w:tabs>
              <w:spacing w:after="0" w:line="240" w:lineRule="exact"/>
              <w:rPr>
                <w:rFonts w:asciiTheme="majorHAnsi" w:hAnsiTheme="majorHAnsi" w:cs="Times New Roman"/>
              </w:rPr>
            </w:pPr>
            <w:r w:rsidRPr="002C5ABC">
              <w:rPr>
                <w:rFonts w:asciiTheme="majorHAnsi" w:hAnsiTheme="majorHAnsi" w:cs="Times New Roman"/>
              </w:rPr>
              <w:t>Sempozyum ve Kongre</w:t>
            </w:r>
          </w:p>
        </w:tc>
        <w:tc>
          <w:tcPr>
            <w:tcW w:w="481"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r w:rsidRPr="002C5ABC">
              <w:rPr>
                <w:rFonts w:asciiTheme="majorHAnsi" w:hAnsiTheme="majorHAnsi" w:cs="Times New Roman"/>
                <w:color w:val="000000"/>
              </w:rPr>
              <w:t>1</w:t>
            </w:r>
          </w:p>
        </w:tc>
        <w:tc>
          <w:tcPr>
            <w:tcW w:w="656" w:type="pct"/>
            <w:gridSpan w:val="2"/>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r w:rsidRPr="002C5ABC">
              <w:rPr>
                <w:rFonts w:asciiTheme="majorHAnsi" w:hAnsiTheme="majorHAnsi" w:cs="Times New Roman"/>
                <w:color w:val="000000"/>
              </w:rPr>
              <w:t>2</w:t>
            </w:r>
          </w:p>
        </w:tc>
        <w:tc>
          <w:tcPr>
            <w:tcW w:w="363"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p>
        </w:tc>
        <w:tc>
          <w:tcPr>
            <w:tcW w:w="517"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r w:rsidRPr="002C5ABC">
              <w:rPr>
                <w:rFonts w:asciiTheme="majorHAnsi" w:hAnsiTheme="majorHAnsi" w:cs="Times New Roman"/>
                <w:color w:val="000000"/>
              </w:rPr>
              <w:t>2</w:t>
            </w:r>
          </w:p>
        </w:tc>
        <w:tc>
          <w:tcPr>
            <w:tcW w:w="438"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r w:rsidRPr="002C5ABC">
              <w:rPr>
                <w:rFonts w:asciiTheme="majorHAnsi" w:hAnsiTheme="majorHAnsi" w:cs="Times New Roman"/>
                <w:color w:val="000000"/>
              </w:rPr>
              <w:t>2</w:t>
            </w:r>
          </w:p>
        </w:tc>
        <w:tc>
          <w:tcPr>
            <w:tcW w:w="658"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p>
        </w:tc>
        <w:tc>
          <w:tcPr>
            <w:tcW w:w="363" w:type="pct"/>
            <w:shd w:val="clear" w:color="auto" w:fill="auto"/>
            <w:vAlign w:val="bottom"/>
          </w:tcPr>
          <w:p w:rsidR="00E716F7" w:rsidRPr="002C5ABC" w:rsidRDefault="00E716F7" w:rsidP="00D370A9">
            <w:pPr>
              <w:spacing w:after="0" w:line="240" w:lineRule="exact"/>
              <w:rPr>
                <w:rFonts w:asciiTheme="majorHAnsi" w:hAnsiTheme="majorHAnsi" w:cs="Times New Roman"/>
                <w:color w:val="000000"/>
              </w:rPr>
            </w:pPr>
          </w:p>
        </w:tc>
        <w:tc>
          <w:tcPr>
            <w:tcW w:w="775"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p>
        </w:tc>
      </w:tr>
      <w:tr w:rsidR="00E716F7" w:rsidRPr="002C5ABC" w:rsidTr="00D370A9">
        <w:trPr>
          <w:trHeight w:val="370"/>
        </w:trPr>
        <w:tc>
          <w:tcPr>
            <w:tcW w:w="749" w:type="pct"/>
            <w:shd w:val="clear" w:color="auto" w:fill="auto"/>
          </w:tcPr>
          <w:p w:rsidR="00E716F7" w:rsidRPr="002C5ABC" w:rsidRDefault="00E716F7" w:rsidP="00D370A9">
            <w:pPr>
              <w:tabs>
                <w:tab w:val="left" w:pos="0"/>
              </w:tabs>
              <w:spacing w:after="0" w:line="240" w:lineRule="exact"/>
              <w:rPr>
                <w:rFonts w:asciiTheme="majorHAnsi" w:hAnsiTheme="majorHAnsi" w:cs="Times New Roman"/>
              </w:rPr>
            </w:pPr>
            <w:r w:rsidRPr="002C5ABC">
              <w:rPr>
                <w:rFonts w:asciiTheme="majorHAnsi" w:hAnsiTheme="majorHAnsi" w:cs="Times New Roman"/>
              </w:rPr>
              <w:t>Konferans</w:t>
            </w:r>
          </w:p>
        </w:tc>
        <w:tc>
          <w:tcPr>
            <w:tcW w:w="481"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p>
        </w:tc>
        <w:tc>
          <w:tcPr>
            <w:tcW w:w="656" w:type="pct"/>
            <w:gridSpan w:val="2"/>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p>
        </w:tc>
        <w:tc>
          <w:tcPr>
            <w:tcW w:w="363"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p>
        </w:tc>
        <w:tc>
          <w:tcPr>
            <w:tcW w:w="517"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p>
        </w:tc>
        <w:tc>
          <w:tcPr>
            <w:tcW w:w="438"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r w:rsidRPr="002C5ABC">
              <w:rPr>
                <w:rFonts w:asciiTheme="majorHAnsi" w:hAnsiTheme="majorHAnsi" w:cs="Times New Roman"/>
                <w:color w:val="000000"/>
              </w:rPr>
              <w:t>3</w:t>
            </w:r>
          </w:p>
        </w:tc>
        <w:tc>
          <w:tcPr>
            <w:tcW w:w="658"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r w:rsidRPr="002C5ABC">
              <w:rPr>
                <w:rFonts w:asciiTheme="majorHAnsi" w:hAnsiTheme="majorHAnsi" w:cs="Times New Roman"/>
                <w:color w:val="000000"/>
              </w:rPr>
              <w:t>3</w:t>
            </w:r>
          </w:p>
        </w:tc>
        <w:tc>
          <w:tcPr>
            <w:tcW w:w="363"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p>
        </w:tc>
        <w:tc>
          <w:tcPr>
            <w:tcW w:w="775"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r w:rsidRPr="002C5ABC">
              <w:rPr>
                <w:rFonts w:asciiTheme="majorHAnsi" w:hAnsiTheme="majorHAnsi" w:cs="Times New Roman"/>
                <w:color w:val="000000"/>
              </w:rPr>
              <w:t>3</w:t>
            </w:r>
          </w:p>
        </w:tc>
      </w:tr>
      <w:tr w:rsidR="00E716F7" w:rsidRPr="002C5ABC" w:rsidTr="00D370A9">
        <w:trPr>
          <w:trHeight w:val="370"/>
        </w:trPr>
        <w:tc>
          <w:tcPr>
            <w:tcW w:w="749" w:type="pct"/>
            <w:shd w:val="clear" w:color="auto" w:fill="auto"/>
          </w:tcPr>
          <w:p w:rsidR="00E716F7" w:rsidRPr="002C5ABC" w:rsidRDefault="00E716F7" w:rsidP="00D370A9">
            <w:pPr>
              <w:tabs>
                <w:tab w:val="left" w:pos="0"/>
              </w:tabs>
              <w:spacing w:after="0" w:line="240" w:lineRule="exact"/>
              <w:rPr>
                <w:rFonts w:asciiTheme="majorHAnsi" w:hAnsiTheme="majorHAnsi" w:cs="Times New Roman"/>
              </w:rPr>
            </w:pPr>
            <w:r w:rsidRPr="002C5ABC">
              <w:rPr>
                <w:rFonts w:asciiTheme="majorHAnsi" w:hAnsiTheme="majorHAnsi" w:cs="Times New Roman"/>
              </w:rPr>
              <w:t>Eğitim Semineri</w:t>
            </w:r>
          </w:p>
        </w:tc>
        <w:tc>
          <w:tcPr>
            <w:tcW w:w="481"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p>
        </w:tc>
        <w:tc>
          <w:tcPr>
            <w:tcW w:w="656" w:type="pct"/>
            <w:gridSpan w:val="2"/>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p>
        </w:tc>
        <w:tc>
          <w:tcPr>
            <w:tcW w:w="363"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p>
        </w:tc>
        <w:tc>
          <w:tcPr>
            <w:tcW w:w="517" w:type="pct"/>
            <w:shd w:val="clear" w:color="auto" w:fill="auto"/>
            <w:vAlign w:val="bottom"/>
          </w:tcPr>
          <w:p w:rsidR="00E716F7" w:rsidRPr="002C5ABC" w:rsidRDefault="00E716F7" w:rsidP="00D370A9">
            <w:pPr>
              <w:spacing w:after="0" w:line="240" w:lineRule="exact"/>
              <w:rPr>
                <w:rFonts w:asciiTheme="majorHAnsi" w:hAnsiTheme="majorHAnsi" w:cs="Times New Roman"/>
                <w:color w:val="000000"/>
              </w:rPr>
            </w:pPr>
          </w:p>
        </w:tc>
        <w:tc>
          <w:tcPr>
            <w:tcW w:w="438"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r w:rsidRPr="002C5ABC">
              <w:rPr>
                <w:rFonts w:asciiTheme="majorHAnsi" w:hAnsiTheme="majorHAnsi" w:cs="Times New Roman"/>
                <w:color w:val="000000"/>
              </w:rPr>
              <w:t>1</w:t>
            </w:r>
          </w:p>
        </w:tc>
        <w:tc>
          <w:tcPr>
            <w:tcW w:w="658"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p>
        </w:tc>
        <w:tc>
          <w:tcPr>
            <w:tcW w:w="363" w:type="pct"/>
            <w:shd w:val="clear" w:color="auto" w:fill="auto"/>
            <w:vAlign w:val="bottom"/>
          </w:tcPr>
          <w:p w:rsidR="00E716F7" w:rsidRPr="002C5ABC" w:rsidRDefault="00E716F7" w:rsidP="00D370A9">
            <w:pPr>
              <w:spacing w:after="0" w:line="240" w:lineRule="exact"/>
              <w:jc w:val="center"/>
              <w:rPr>
                <w:rFonts w:asciiTheme="majorHAnsi" w:hAnsiTheme="majorHAnsi" w:cs="Times New Roman"/>
                <w:color w:val="000000"/>
              </w:rPr>
            </w:pPr>
          </w:p>
        </w:tc>
        <w:tc>
          <w:tcPr>
            <w:tcW w:w="775" w:type="pct"/>
            <w:shd w:val="clear" w:color="auto" w:fill="auto"/>
            <w:vAlign w:val="bottom"/>
          </w:tcPr>
          <w:p w:rsidR="00E716F7" w:rsidRPr="002C5ABC" w:rsidRDefault="00E716F7" w:rsidP="00D370A9">
            <w:pPr>
              <w:spacing w:after="0" w:line="240" w:lineRule="exact"/>
              <w:rPr>
                <w:rFonts w:asciiTheme="majorHAnsi" w:hAnsiTheme="majorHAnsi" w:cs="Times New Roman"/>
                <w:color w:val="000000"/>
              </w:rPr>
            </w:pPr>
          </w:p>
        </w:tc>
      </w:tr>
    </w:tbl>
    <w:p w:rsidR="00E716F7" w:rsidRDefault="00E716F7" w:rsidP="00765AB3">
      <w:pPr>
        <w:spacing w:after="0" w:line="360" w:lineRule="auto"/>
        <w:rPr>
          <w:rFonts w:asciiTheme="majorHAnsi" w:eastAsia="Calibri" w:hAnsiTheme="majorHAnsi" w:cs="Times New Roman"/>
          <w:b/>
          <w:color w:val="365F91" w:themeColor="accent1" w:themeShade="BF"/>
          <w:sz w:val="28"/>
          <w:szCs w:val="28"/>
          <w:lang w:eastAsia="tr-TR"/>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268"/>
        <w:gridCol w:w="3480"/>
        <w:gridCol w:w="1765"/>
      </w:tblGrid>
      <w:tr w:rsidR="00E716F7" w:rsidRPr="00E716F7" w:rsidTr="00D370A9">
        <w:trPr>
          <w:trHeight w:val="807"/>
        </w:trPr>
        <w:tc>
          <w:tcPr>
            <w:tcW w:w="2127" w:type="dxa"/>
            <w:vAlign w:val="center"/>
          </w:tcPr>
          <w:p w:rsidR="00E716F7" w:rsidRPr="00E716F7" w:rsidRDefault="00E716F7" w:rsidP="00E716F7">
            <w:pPr>
              <w:spacing w:after="0" w:line="360" w:lineRule="auto"/>
              <w:jc w:val="center"/>
              <w:rPr>
                <w:rFonts w:asciiTheme="majorHAnsi" w:eastAsia="Times New Roman" w:hAnsiTheme="majorHAnsi" w:cs="Times New Roman"/>
                <w:b/>
                <w:bCs/>
                <w:lang w:eastAsia="zh-CN"/>
              </w:rPr>
            </w:pPr>
            <w:r w:rsidRPr="00E716F7">
              <w:rPr>
                <w:rFonts w:asciiTheme="majorHAnsi" w:eastAsia="Times New Roman" w:hAnsiTheme="majorHAnsi" w:cs="Times New Roman"/>
                <w:b/>
                <w:bCs/>
                <w:lang w:eastAsia="zh-CN"/>
              </w:rPr>
              <w:t>Faaliyetin Tarihi (leri)</w:t>
            </w:r>
          </w:p>
        </w:tc>
        <w:tc>
          <w:tcPr>
            <w:tcW w:w="2268" w:type="dxa"/>
            <w:vAlign w:val="center"/>
          </w:tcPr>
          <w:p w:rsidR="00E716F7" w:rsidRPr="00E716F7" w:rsidRDefault="00E716F7" w:rsidP="00E716F7">
            <w:pPr>
              <w:spacing w:after="0" w:line="360" w:lineRule="auto"/>
              <w:jc w:val="center"/>
              <w:rPr>
                <w:rFonts w:asciiTheme="majorHAnsi" w:eastAsia="Times New Roman" w:hAnsiTheme="majorHAnsi" w:cs="Times New Roman"/>
                <w:b/>
                <w:bCs/>
                <w:lang w:eastAsia="zh-CN"/>
              </w:rPr>
            </w:pPr>
            <w:r w:rsidRPr="00E716F7">
              <w:rPr>
                <w:rFonts w:asciiTheme="majorHAnsi" w:eastAsia="Times New Roman" w:hAnsiTheme="majorHAnsi" w:cs="Times New Roman"/>
                <w:b/>
                <w:bCs/>
                <w:lang w:eastAsia="zh-CN"/>
              </w:rPr>
              <w:t>Faaliyetin Türü</w:t>
            </w:r>
          </w:p>
        </w:tc>
        <w:tc>
          <w:tcPr>
            <w:tcW w:w="3480" w:type="dxa"/>
            <w:vAlign w:val="center"/>
          </w:tcPr>
          <w:p w:rsidR="00E716F7" w:rsidRPr="00E716F7" w:rsidRDefault="00E716F7" w:rsidP="00E716F7">
            <w:pPr>
              <w:spacing w:after="0" w:line="360" w:lineRule="auto"/>
              <w:jc w:val="center"/>
              <w:rPr>
                <w:rFonts w:asciiTheme="majorHAnsi" w:eastAsia="Times New Roman" w:hAnsiTheme="majorHAnsi" w:cs="Times New Roman"/>
                <w:b/>
                <w:bCs/>
                <w:lang w:eastAsia="zh-CN"/>
              </w:rPr>
            </w:pPr>
            <w:r w:rsidRPr="00E716F7">
              <w:rPr>
                <w:rFonts w:asciiTheme="majorHAnsi" w:eastAsia="Times New Roman" w:hAnsiTheme="majorHAnsi" w:cs="Times New Roman"/>
                <w:b/>
                <w:bCs/>
                <w:lang w:eastAsia="zh-CN"/>
              </w:rPr>
              <w:t>Faaliyetin Adı</w:t>
            </w:r>
          </w:p>
        </w:tc>
        <w:tc>
          <w:tcPr>
            <w:tcW w:w="1765" w:type="dxa"/>
            <w:vAlign w:val="center"/>
          </w:tcPr>
          <w:p w:rsidR="00E716F7" w:rsidRPr="00E716F7" w:rsidRDefault="00E716F7" w:rsidP="00E716F7">
            <w:pPr>
              <w:spacing w:after="0" w:line="360" w:lineRule="auto"/>
              <w:jc w:val="center"/>
              <w:rPr>
                <w:rFonts w:asciiTheme="majorHAnsi" w:eastAsia="Times New Roman" w:hAnsiTheme="majorHAnsi" w:cs="Times New Roman"/>
                <w:b/>
                <w:bCs/>
                <w:lang w:eastAsia="zh-CN"/>
              </w:rPr>
            </w:pPr>
            <w:r w:rsidRPr="00E716F7">
              <w:rPr>
                <w:rFonts w:asciiTheme="majorHAnsi" w:eastAsia="Times New Roman" w:hAnsiTheme="majorHAnsi" w:cs="Times New Roman"/>
                <w:b/>
                <w:bCs/>
                <w:lang w:eastAsia="zh-CN"/>
              </w:rPr>
              <w:t>Faaliyeti Yapan Birimin Adı</w:t>
            </w:r>
          </w:p>
        </w:tc>
      </w:tr>
      <w:tr w:rsidR="00E716F7" w:rsidRPr="00E716F7" w:rsidTr="00D370A9">
        <w:trPr>
          <w:trHeight w:val="411"/>
        </w:trPr>
        <w:tc>
          <w:tcPr>
            <w:tcW w:w="2127" w:type="dxa"/>
          </w:tcPr>
          <w:p w:rsidR="00E716F7" w:rsidRPr="00E716F7" w:rsidRDefault="00E716F7" w:rsidP="00E716F7">
            <w:pPr>
              <w:spacing w:after="0" w:line="240" w:lineRule="auto"/>
              <w:jc w:val="both"/>
              <w:rPr>
                <w:rFonts w:asciiTheme="majorHAnsi" w:eastAsia="Times New Roman" w:hAnsiTheme="majorHAnsi" w:cs="Times New Roman"/>
                <w:lang w:eastAsia="zh-CN"/>
              </w:rPr>
            </w:pPr>
            <w:r w:rsidRPr="00E716F7">
              <w:rPr>
                <w:rFonts w:asciiTheme="majorHAnsi" w:eastAsia="Times New Roman" w:hAnsiTheme="majorHAnsi" w:cs="Times New Roman"/>
                <w:lang w:eastAsia="zh-CN"/>
              </w:rPr>
              <w:t>04.2025</w:t>
            </w:r>
          </w:p>
        </w:tc>
        <w:tc>
          <w:tcPr>
            <w:tcW w:w="2268" w:type="dxa"/>
          </w:tcPr>
          <w:p w:rsidR="00E716F7" w:rsidRPr="00E716F7" w:rsidRDefault="00E716F7" w:rsidP="00E716F7">
            <w:pPr>
              <w:spacing w:after="0" w:line="240" w:lineRule="auto"/>
              <w:jc w:val="both"/>
              <w:rPr>
                <w:rFonts w:asciiTheme="majorHAnsi" w:eastAsia="Times New Roman" w:hAnsiTheme="majorHAnsi" w:cs="Times New Roman"/>
                <w:lang w:eastAsia="zh-CN"/>
              </w:rPr>
            </w:pPr>
            <w:r w:rsidRPr="00E716F7">
              <w:rPr>
                <w:rFonts w:asciiTheme="majorHAnsi" w:eastAsia="Times New Roman" w:hAnsiTheme="majorHAnsi" w:cs="Times New Roman"/>
                <w:lang w:eastAsia="zh-CN"/>
              </w:rPr>
              <w:t>Konferans</w:t>
            </w:r>
          </w:p>
        </w:tc>
        <w:tc>
          <w:tcPr>
            <w:tcW w:w="3480" w:type="dxa"/>
          </w:tcPr>
          <w:p w:rsidR="00E716F7" w:rsidRPr="00E716F7" w:rsidRDefault="00E716F7" w:rsidP="00E716F7">
            <w:pPr>
              <w:spacing w:after="0" w:line="240" w:lineRule="auto"/>
              <w:rPr>
                <w:rFonts w:asciiTheme="majorHAnsi" w:eastAsia="Times New Roman" w:hAnsiTheme="majorHAnsi" w:cs="Times New Roman"/>
                <w:lang w:eastAsia="zh-CN"/>
              </w:rPr>
            </w:pPr>
            <w:r w:rsidRPr="00E716F7">
              <w:rPr>
                <w:rFonts w:asciiTheme="majorHAnsi" w:eastAsia="Times New Roman" w:hAnsiTheme="majorHAnsi" w:cs="Times New Roman"/>
                <w:lang w:val="en-US" w:eastAsia="zh-CN"/>
              </w:rPr>
              <w:t>Socio-ecological approaches to the history and archaeology of Anatolia</w:t>
            </w:r>
          </w:p>
        </w:tc>
        <w:tc>
          <w:tcPr>
            <w:tcW w:w="1765" w:type="dxa"/>
          </w:tcPr>
          <w:p w:rsidR="00E716F7" w:rsidRPr="00E716F7" w:rsidRDefault="00E716F7" w:rsidP="00E716F7">
            <w:pPr>
              <w:spacing w:after="0" w:line="240" w:lineRule="auto"/>
              <w:jc w:val="both"/>
              <w:rPr>
                <w:rFonts w:asciiTheme="majorHAnsi" w:eastAsia="Times New Roman" w:hAnsiTheme="majorHAnsi" w:cs="Times New Roman"/>
                <w:lang w:eastAsia="zh-CN"/>
              </w:rPr>
            </w:pPr>
          </w:p>
        </w:tc>
      </w:tr>
      <w:tr w:rsidR="00E716F7" w:rsidRPr="00E716F7" w:rsidTr="00D370A9">
        <w:trPr>
          <w:trHeight w:val="396"/>
        </w:trPr>
        <w:tc>
          <w:tcPr>
            <w:tcW w:w="2127" w:type="dxa"/>
          </w:tcPr>
          <w:p w:rsidR="00E716F7" w:rsidRPr="00E716F7" w:rsidRDefault="00E716F7" w:rsidP="00E716F7">
            <w:pPr>
              <w:spacing w:after="0" w:line="240" w:lineRule="auto"/>
              <w:rPr>
                <w:rFonts w:asciiTheme="majorHAnsi" w:eastAsia="Times New Roman" w:hAnsiTheme="majorHAnsi" w:cs="Times New Roman"/>
                <w:lang w:eastAsia="zh-CN"/>
              </w:rPr>
            </w:pPr>
            <w:r w:rsidRPr="00E716F7">
              <w:rPr>
                <w:rFonts w:asciiTheme="majorHAnsi" w:eastAsia="Times New Roman" w:hAnsiTheme="majorHAnsi" w:cs="Times New Roman"/>
                <w:lang w:eastAsia="zh-CN"/>
              </w:rPr>
              <w:t>26-30 Mayıs 2025</w:t>
            </w:r>
          </w:p>
        </w:tc>
        <w:tc>
          <w:tcPr>
            <w:tcW w:w="2268" w:type="dxa"/>
          </w:tcPr>
          <w:p w:rsidR="00E716F7" w:rsidRPr="00E716F7" w:rsidRDefault="00E716F7" w:rsidP="00E716F7">
            <w:pPr>
              <w:spacing w:after="0" w:line="360" w:lineRule="auto"/>
              <w:jc w:val="both"/>
              <w:rPr>
                <w:rFonts w:asciiTheme="majorHAnsi" w:eastAsia="Times New Roman" w:hAnsiTheme="majorHAnsi" w:cs="Times New Roman"/>
                <w:lang w:eastAsia="zh-CN"/>
              </w:rPr>
            </w:pPr>
            <w:r w:rsidRPr="00E716F7">
              <w:rPr>
                <w:rFonts w:asciiTheme="majorHAnsi" w:eastAsia="Times New Roman" w:hAnsiTheme="majorHAnsi" w:cs="Times New Roman"/>
                <w:lang w:eastAsia="zh-CN"/>
              </w:rPr>
              <w:t>Sempozyum</w:t>
            </w:r>
          </w:p>
        </w:tc>
        <w:tc>
          <w:tcPr>
            <w:tcW w:w="3480" w:type="dxa"/>
          </w:tcPr>
          <w:p w:rsidR="00E716F7" w:rsidRPr="00E716F7" w:rsidRDefault="00E716F7" w:rsidP="00E716F7">
            <w:pPr>
              <w:spacing w:after="0" w:line="240" w:lineRule="auto"/>
              <w:rPr>
                <w:rFonts w:asciiTheme="majorHAnsi" w:eastAsia="Times New Roman" w:hAnsiTheme="majorHAnsi" w:cs="Times New Roman"/>
                <w:lang w:eastAsia="zh-CN"/>
              </w:rPr>
            </w:pPr>
            <w:r w:rsidRPr="00E716F7">
              <w:rPr>
                <w:rFonts w:asciiTheme="majorHAnsi" w:eastAsia="Times New Roman" w:hAnsiTheme="majorHAnsi" w:cs="Times New Roman"/>
                <w:lang w:eastAsia="zh-CN"/>
              </w:rPr>
              <w:t xml:space="preserve">45. Uluslararası kazı, araştırma ve arkeometri </w:t>
            </w:r>
            <w:proofErr w:type="gramStart"/>
            <w:r w:rsidRPr="00E716F7">
              <w:rPr>
                <w:rFonts w:asciiTheme="majorHAnsi" w:eastAsia="Times New Roman" w:hAnsiTheme="majorHAnsi" w:cs="Times New Roman"/>
                <w:lang w:eastAsia="zh-CN"/>
              </w:rPr>
              <w:t>sempozyumu</w:t>
            </w:r>
            <w:proofErr w:type="gramEnd"/>
          </w:p>
        </w:tc>
        <w:tc>
          <w:tcPr>
            <w:tcW w:w="1765" w:type="dxa"/>
          </w:tcPr>
          <w:p w:rsidR="00E716F7" w:rsidRPr="00E716F7" w:rsidRDefault="00E716F7" w:rsidP="00E716F7">
            <w:pPr>
              <w:spacing w:after="0" w:line="360" w:lineRule="auto"/>
              <w:jc w:val="both"/>
              <w:rPr>
                <w:rFonts w:asciiTheme="majorHAnsi" w:eastAsia="Times New Roman" w:hAnsiTheme="majorHAnsi" w:cs="Times New Roman"/>
                <w:lang w:eastAsia="zh-CN"/>
              </w:rPr>
            </w:pPr>
          </w:p>
        </w:tc>
      </w:tr>
      <w:tr w:rsidR="00E716F7" w:rsidRPr="00E716F7" w:rsidTr="00D370A9">
        <w:trPr>
          <w:trHeight w:val="426"/>
        </w:trPr>
        <w:tc>
          <w:tcPr>
            <w:tcW w:w="2127" w:type="dxa"/>
          </w:tcPr>
          <w:p w:rsidR="00E716F7" w:rsidRPr="00E716F7" w:rsidRDefault="00E716F7" w:rsidP="00E716F7">
            <w:pPr>
              <w:spacing w:after="0" w:line="240" w:lineRule="auto"/>
              <w:rPr>
                <w:rFonts w:asciiTheme="majorHAnsi" w:eastAsia="Times New Roman" w:hAnsiTheme="majorHAnsi" w:cs="Times New Roman"/>
                <w:lang w:eastAsia="zh-CN"/>
              </w:rPr>
            </w:pPr>
            <w:r w:rsidRPr="00E716F7">
              <w:rPr>
                <w:rFonts w:asciiTheme="majorHAnsi" w:eastAsia="Times New Roman" w:hAnsiTheme="majorHAnsi" w:cs="Times New Roman"/>
                <w:lang w:eastAsia="zh-CN"/>
              </w:rPr>
              <w:lastRenderedPageBreak/>
              <w:t>05.2025</w:t>
            </w:r>
          </w:p>
        </w:tc>
        <w:tc>
          <w:tcPr>
            <w:tcW w:w="2268" w:type="dxa"/>
          </w:tcPr>
          <w:p w:rsidR="00E716F7" w:rsidRPr="00E716F7" w:rsidRDefault="00E716F7" w:rsidP="00E716F7">
            <w:pPr>
              <w:spacing w:after="0" w:line="360" w:lineRule="auto"/>
              <w:jc w:val="both"/>
              <w:rPr>
                <w:rFonts w:asciiTheme="majorHAnsi" w:eastAsia="Times New Roman" w:hAnsiTheme="majorHAnsi" w:cs="Times New Roman"/>
                <w:lang w:eastAsia="zh-CN"/>
              </w:rPr>
            </w:pPr>
            <w:r w:rsidRPr="00E716F7">
              <w:rPr>
                <w:rFonts w:asciiTheme="majorHAnsi" w:eastAsia="Times New Roman" w:hAnsiTheme="majorHAnsi" w:cs="Times New Roman"/>
                <w:lang w:eastAsia="zh-CN"/>
              </w:rPr>
              <w:t>Konferans</w:t>
            </w:r>
          </w:p>
        </w:tc>
        <w:tc>
          <w:tcPr>
            <w:tcW w:w="3480" w:type="dxa"/>
          </w:tcPr>
          <w:p w:rsidR="00E716F7" w:rsidRPr="00E716F7" w:rsidRDefault="00E716F7" w:rsidP="00E716F7">
            <w:pPr>
              <w:spacing w:after="0" w:line="240" w:lineRule="auto"/>
              <w:rPr>
                <w:rFonts w:asciiTheme="majorHAnsi" w:eastAsia="Times New Roman" w:hAnsiTheme="majorHAnsi" w:cs="Times New Roman"/>
                <w:lang w:eastAsia="zh-CN"/>
              </w:rPr>
            </w:pPr>
            <w:r w:rsidRPr="00E716F7">
              <w:rPr>
                <w:rFonts w:asciiTheme="majorHAnsi" w:eastAsia="Times New Roman" w:hAnsiTheme="majorHAnsi" w:cs="Times New Roman"/>
                <w:lang w:val="en-US" w:eastAsia="zh-CN"/>
              </w:rPr>
              <w:t>Spring in Byzantium GABAM Conference</w:t>
            </w:r>
          </w:p>
        </w:tc>
        <w:tc>
          <w:tcPr>
            <w:tcW w:w="1765" w:type="dxa"/>
          </w:tcPr>
          <w:p w:rsidR="00E716F7" w:rsidRPr="00E716F7" w:rsidRDefault="00E716F7" w:rsidP="00E716F7">
            <w:pPr>
              <w:spacing w:after="0" w:line="360" w:lineRule="auto"/>
              <w:jc w:val="both"/>
              <w:rPr>
                <w:rFonts w:asciiTheme="majorHAnsi" w:eastAsia="Times New Roman" w:hAnsiTheme="majorHAnsi" w:cs="Times New Roman"/>
                <w:lang w:eastAsia="zh-CN"/>
              </w:rPr>
            </w:pPr>
          </w:p>
        </w:tc>
      </w:tr>
      <w:tr w:rsidR="00E716F7" w:rsidRPr="00E716F7" w:rsidTr="00D370A9">
        <w:trPr>
          <w:trHeight w:val="426"/>
        </w:trPr>
        <w:tc>
          <w:tcPr>
            <w:tcW w:w="2127" w:type="dxa"/>
          </w:tcPr>
          <w:p w:rsidR="00E716F7" w:rsidRPr="00E716F7" w:rsidRDefault="00E716F7" w:rsidP="00E716F7">
            <w:pPr>
              <w:spacing w:after="0" w:line="240" w:lineRule="auto"/>
              <w:rPr>
                <w:rFonts w:asciiTheme="majorHAnsi" w:eastAsia="Times New Roman" w:hAnsiTheme="majorHAnsi" w:cs="Times New Roman"/>
                <w:lang w:eastAsia="zh-CN"/>
              </w:rPr>
            </w:pPr>
            <w:r w:rsidRPr="00E716F7">
              <w:rPr>
                <w:rFonts w:asciiTheme="majorHAnsi" w:eastAsia="Times New Roman" w:hAnsiTheme="majorHAnsi" w:cs="Times New Roman"/>
                <w:lang w:eastAsia="zh-CN"/>
              </w:rPr>
              <w:t>26-29 Ağustos 2025</w:t>
            </w:r>
          </w:p>
        </w:tc>
        <w:tc>
          <w:tcPr>
            <w:tcW w:w="2268" w:type="dxa"/>
          </w:tcPr>
          <w:p w:rsidR="00E716F7" w:rsidRPr="00E716F7" w:rsidRDefault="00E716F7" w:rsidP="00E716F7">
            <w:pPr>
              <w:spacing w:after="0" w:line="360" w:lineRule="auto"/>
              <w:jc w:val="both"/>
              <w:rPr>
                <w:rFonts w:asciiTheme="majorHAnsi" w:eastAsia="Times New Roman" w:hAnsiTheme="majorHAnsi" w:cs="Times New Roman"/>
                <w:lang w:eastAsia="zh-CN"/>
              </w:rPr>
            </w:pPr>
            <w:r w:rsidRPr="00E716F7">
              <w:rPr>
                <w:rFonts w:asciiTheme="majorHAnsi" w:eastAsia="Times New Roman" w:hAnsiTheme="majorHAnsi" w:cs="Times New Roman"/>
                <w:lang w:eastAsia="zh-CN"/>
              </w:rPr>
              <w:t>Sempozyum</w:t>
            </w:r>
          </w:p>
        </w:tc>
        <w:tc>
          <w:tcPr>
            <w:tcW w:w="3480" w:type="dxa"/>
          </w:tcPr>
          <w:p w:rsidR="00E716F7" w:rsidRPr="00E716F7" w:rsidRDefault="00E716F7" w:rsidP="00E716F7">
            <w:pPr>
              <w:spacing w:after="0" w:line="240" w:lineRule="auto"/>
              <w:rPr>
                <w:rFonts w:asciiTheme="majorHAnsi" w:eastAsia="Times New Roman" w:hAnsiTheme="majorHAnsi" w:cs="Times New Roman"/>
                <w:lang w:val="en-US" w:eastAsia="zh-CN"/>
              </w:rPr>
            </w:pPr>
            <w:r w:rsidRPr="00E716F7">
              <w:rPr>
                <w:rFonts w:asciiTheme="majorHAnsi" w:eastAsia="Times New Roman" w:hAnsiTheme="majorHAnsi" w:cs="Times New Roman"/>
                <w:lang w:val="en-US" w:eastAsia="zh-CN"/>
              </w:rPr>
              <w:t>International Society for Biomolecular Archaeology (ISBA) 11</w:t>
            </w:r>
          </w:p>
        </w:tc>
        <w:tc>
          <w:tcPr>
            <w:tcW w:w="1765" w:type="dxa"/>
          </w:tcPr>
          <w:p w:rsidR="00E716F7" w:rsidRPr="00E716F7" w:rsidRDefault="00E716F7" w:rsidP="00E716F7">
            <w:pPr>
              <w:spacing w:after="0" w:line="360" w:lineRule="auto"/>
              <w:jc w:val="both"/>
              <w:rPr>
                <w:rFonts w:asciiTheme="majorHAnsi" w:eastAsia="Times New Roman" w:hAnsiTheme="majorHAnsi" w:cs="Times New Roman"/>
                <w:lang w:eastAsia="zh-CN"/>
              </w:rPr>
            </w:pPr>
          </w:p>
        </w:tc>
      </w:tr>
      <w:tr w:rsidR="00E716F7" w:rsidRPr="00E716F7" w:rsidTr="00D370A9">
        <w:trPr>
          <w:trHeight w:val="426"/>
        </w:trPr>
        <w:tc>
          <w:tcPr>
            <w:tcW w:w="2127" w:type="dxa"/>
          </w:tcPr>
          <w:p w:rsidR="00E716F7" w:rsidRPr="00E716F7" w:rsidRDefault="00E716F7" w:rsidP="00E716F7">
            <w:pPr>
              <w:spacing w:after="0" w:line="240" w:lineRule="auto"/>
              <w:rPr>
                <w:rFonts w:asciiTheme="majorHAnsi" w:eastAsia="Times New Roman" w:hAnsiTheme="majorHAnsi" w:cs="Times New Roman"/>
                <w:lang w:eastAsia="zh-CN"/>
              </w:rPr>
            </w:pPr>
            <w:r w:rsidRPr="00E716F7">
              <w:rPr>
                <w:rFonts w:asciiTheme="majorHAnsi" w:eastAsia="Times New Roman" w:hAnsiTheme="majorHAnsi" w:cs="Times New Roman"/>
                <w:lang w:eastAsia="zh-CN"/>
              </w:rPr>
              <w:t>27-31 Mayıs 2025</w:t>
            </w:r>
          </w:p>
        </w:tc>
        <w:tc>
          <w:tcPr>
            <w:tcW w:w="2268" w:type="dxa"/>
          </w:tcPr>
          <w:p w:rsidR="00E716F7" w:rsidRPr="00E716F7" w:rsidRDefault="00E716F7" w:rsidP="00E716F7">
            <w:pPr>
              <w:spacing w:after="0" w:line="240" w:lineRule="auto"/>
              <w:jc w:val="both"/>
              <w:rPr>
                <w:rFonts w:asciiTheme="majorHAnsi" w:eastAsia="Times New Roman" w:hAnsiTheme="majorHAnsi" w:cs="Times New Roman"/>
                <w:lang w:eastAsia="zh-CN"/>
              </w:rPr>
            </w:pPr>
            <w:r w:rsidRPr="00E716F7">
              <w:rPr>
                <w:rFonts w:asciiTheme="majorHAnsi" w:eastAsia="Times New Roman" w:hAnsiTheme="majorHAnsi" w:cs="Times New Roman"/>
                <w:lang w:eastAsia="zh-CN"/>
              </w:rPr>
              <w:t>Konferans</w:t>
            </w:r>
          </w:p>
        </w:tc>
        <w:tc>
          <w:tcPr>
            <w:tcW w:w="3480" w:type="dxa"/>
          </w:tcPr>
          <w:p w:rsidR="00E716F7" w:rsidRPr="00E716F7" w:rsidRDefault="00E716F7" w:rsidP="00E716F7">
            <w:pPr>
              <w:spacing w:after="0" w:line="240" w:lineRule="auto"/>
              <w:rPr>
                <w:rFonts w:asciiTheme="majorHAnsi" w:eastAsia="Times New Roman" w:hAnsiTheme="majorHAnsi" w:cs="Times New Roman"/>
                <w:lang w:val="en-US" w:eastAsia="zh-CN"/>
              </w:rPr>
            </w:pPr>
            <w:r w:rsidRPr="00E716F7">
              <w:rPr>
                <w:rFonts w:asciiTheme="majorHAnsi" w:eastAsia="Times New Roman" w:hAnsiTheme="majorHAnsi" w:cs="Times New Roman"/>
                <w:lang w:val="en-GB" w:eastAsia="zh-CN"/>
              </w:rPr>
              <w:t>8</w:t>
            </w:r>
            <w:r w:rsidRPr="00E716F7">
              <w:rPr>
                <w:rFonts w:asciiTheme="majorHAnsi" w:eastAsia="Times New Roman" w:hAnsiTheme="majorHAnsi" w:cs="Times New Roman"/>
                <w:vertAlign w:val="superscript"/>
                <w:lang w:val="en-GB" w:eastAsia="zh-CN"/>
              </w:rPr>
              <w:t>th</w:t>
            </w:r>
            <w:r w:rsidRPr="00E716F7">
              <w:rPr>
                <w:rFonts w:asciiTheme="majorHAnsi" w:eastAsia="Times New Roman" w:hAnsiTheme="majorHAnsi" w:cs="Times New Roman"/>
                <w:lang w:val="en-GB" w:eastAsia="zh-CN"/>
              </w:rPr>
              <w:t xml:space="preserve"> International Conference on Industrial &amp; Hazardous Waste Management</w:t>
            </w:r>
          </w:p>
        </w:tc>
        <w:tc>
          <w:tcPr>
            <w:tcW w:w="1765" w:type="dxa"/>
          </w:tcPr>
          <w:p w:rsidR="00E716F7" w:rsidRPr="00E716F7" w:rsidRDefault="00E716F7" w:rsidP="00E716F7">
            <w:pPr>
              <w:spacing w:after="0" w:line="360" w:lineRule="auto"/>
              <w:jc w:val="both"/>
              <w:rPr>
                <w:rFonts w:asciiTheme="majorHAnsi" w:eastAsia="Times New Roman" w:hAnsiTheme="majorHAnsi" w:cs="Times New Roman"/>
                <w:lang w:eastAsia="zh-CN"/>
              </w:rPr>
            </w:pPr>
          </w:p>
        </w:tc>
      </w:tr>
    </w:tbl>
    <w:p w:rsidR="00E716F7" w:rsidRPr="00D25745" w:rsidRDefault="00E716F7" w:rsidP="00765AB3">
      <w:pPr>
        <w:spacing w:after="0" w:line="360" w:lineRule="auto"/>
        <w:rPr>
          <w:rFonts w:asciiTheme="majorHAnsi" w:eastAsia="Calibri" w:hAnsiTheme="majorHAnsi" w:cs="Times New Roman"/>
          <w:b/>
          <w:color w:val="365F91" w:themeColor="accent1" w:themeShade="BF"/>
          <w:sz w:val="28"/>
          <w:szCs w:val="28"/>
          <w:lang w:eastAsia="tr-TR"/>
        </w:rPr>
      </w:pPr>
    </w:p>
    <w:p w:rsidR="00C3720A" w:rsidRPr="00D25745" w:rsidRDefault="002C5ABC" w:rsidP="00C3720A">
      <w:pPr>
        <w:spacing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VIII</w:t>
      </w:r>
      <w:r w:rsidR="00C3720A" w:rsidRPr="00D25745">
        <w:rPr>
          <w:rFonts w:asciiTheme="majorHAnsi" w:eastAsia="Calibri" w:hAnsiTheme="majorHAnsi" w:cs="Times New Roman"/>
          <w:b/>
          <w:color w:val="365F91" w:themeColor="accent1" w:themeShade="BF"/>
          <w:sz w:val="28"/>
          <w:szCs w:val="28"/>
          <w:lang w:eastAsia="tr-TR"/>
        </w:rPr>
        <w:t>-</w:t>
      </w:r>
      <w:r w:rsidR="00C3720A" w:rsidRPr="00D25745">
        <w:rPr>
          <w:rFonts w:asciiTheme="majorHAnsi" w:eastAsia="Times New Roman" w:hAnsiTheme="majorHAnsi" w:cs="Times New Roman"/>
          <w:b/>
          <w:sz w:val="20"/>
          <w:szCs w:val="20"/>
          <w:lang w:eastAsia="zh-CN"/>
        </w:rPr>
        <w:t xml:space="preserve"> </w:t>
      </w:r>
      <w:r w:rsidR="00C3720A" w:rsidRPr="00D25745">
        <w:rPr>
          <w:rFonts w:asciiTheme="majorHAnsi" w:eastAsia="Calibri" w:hAnsiTheme="majorHAnsi" w:cs="Times New Roman"/>
          <w:b/>
          <w:color w:val="365F91" w:themeColor="accent1" w:themeShade="BF"/>
          <w:sz w:val="28"/>
          <w:szCs w:val="28"/>
          <w:lang w:eastAsia="tr-TR"/>
        </w:rPr>
        <w:t>MERKEZ AĞIRLIKLI, MERKEZİN KATKISIYLA YAPILAN ÇALIŞMALARA DAYANDIRILARAK YAYIMLANAN BİLİMSEL YAYINLAR</w:t>
      </w:r>
    </w:p>
    <w:p w:rsidR="003904A0" w:rsidRPr="00A70F2A" w:rsidRDefault="00C3720A" w:rsidP="00A70F2A">
      <w:pPr>
        <w:spacing w:after="0" w:line="360" w:lineRule="auto"/>
        <w:rPr>
          <w:rFonts w:asciiTheme="majorHAnsi" w:eastAsia="Calibri" w:hAnsiTheme="majorHAnsi" w:cs="Times New Roman"/>
          <w:b/>
          <w:color w:val="365F91" w:themeColor="accent1" w:themeShade="BF"/>
          <w:lang w:eastAsia="tr-TR"/>
        </w:rPr>
      </w:pPr>
      <w:r w:rsidRPr="003904A0">
        <w:rPr>
          <w:rFonts w:asciiTheme="majorHAnsi" w:eastAsia="Calibri" w:hAnsiTheme="majorHAnsi" w:cs="Times New Roman"/>
          <w:b/>
          <w:color w:val="365F91" w:themeColor="accent1" w:themeShade="BF"/>
          <w:lang w:eastAsia="tr-TR"/>
        </w:rPr>
        <w:t>Makale</w:t>
      </w:r>
    </w:p>
    <w:p w:rsidR="00A70F2A" w:rsidRPr="00A70F2A" w:rsidRDefault="00A70F2A" w:rsidP="00A70F2A">
      <w:pPr>
        <w:spacing w:after="0" w:line="300" w:lineRule="exact"/>
        <w:jc w:val="both"/>
        <w:rPr>
          <w:rFonts w:asciiTheme="majorHAnsi" w:eastAsia="Calibri" w:hAnsiTheme="majorHAnsi" w:cs="Times New Roman"/>
          <w:color w:val="000000"/>
          <w:shd w:val="clear" w:color="auto" w:fill="FFFFFF"/>
        </w:rPr>
      </w:pPr>
      <w:r w:rsidRPr="00A70F2A">
        <w:rPr>
          <w:rFonts w:asciiTheme="majorHAnsi" w:eastAsia="Calibri" w:hAnsiTheme="majorHAnsi" w:cs="Times New Roman"/>
          <w:color w:val="000000"/>
          <w:shd w:val="clear" w:color="auto" w:fill="FFFFFF"/>
        </w:rPr>
        <w:t>Irvine, B</w:t>
      </w:r>
      <w:proofErr w:type="gramStart"/>
      <w:r w:rsidRPr="00A70F2A">
        <w:rPr>
          <w:rFonts w:asciiTheme="majorHAnsi" w:eastAsia="Calibri" w:hAnsiTheme="majorHAnsi" w:cs="Times New Roman"/>
          <w:color w:val="000000"/>
          <w:shd w:val="clear" w:color="auto" w:fill="FFFFFF"/>
        </w:rPr>
        <w:t>.,</w:t>
      </w:r>
      <w:proofErr w:type="gramEnd"/>
      <w:r w:rsidRPr="00A70F2A">
        <w:rPr>
          <w:rFonts w:asciiTheme="majorHAnsi" w:eastAsia="Calibri" w:hAnsiTheme="majorHAnsi" w:cs="Times New Roman"/>
          <w:color w:val="000000"/>
          <w:shd w:val="clear" w:color="auto" w:fill="FFFFFF"/>
        </w:rPr>
        <w:t xml:space="preserve"> Luke, C., Çakırlar, C., Kaner, T., Özbal, R., Fındıklar, Ş., &amp; Roosevelt, C. H. (2024). Stable isotope analysis of faunal remains from Bronze Age Kaymakçı, Western Anatolia. The Holocene, 35(3), 223-233. https://doi.org/10.1177/09596836241297077</w:t>
      </w:r>
      <w:r w:rsidRPr="00A70F2A">
        <w:rPr>
          <w:rFonts w:asciiTheme="majorHAnsi" w:eastAsia="Calibri" w:hAnsiTheme="majorHAnsi" w:cs="Times New Roman"/>
          <w:color w:val="000000"/>
          <w:shd w:val="clear" w:color="auto" w:fill="FFFFFF"/>
        </w:rPr>
        <w:cr/>
      </w:r>
    </w:p>
    <w:p w:rsidR="00A70F2A" w:rsidRPr="00A70F2A" w:rsidRDefault="00A70F2A" w:rsidP="00A70F2A">
      <w:pPr>
        <w:spacing w:after="0" w:line="300" w:lineRule="exact"/>
        <w:jc w:val="both"/>
        <w:rPr>
          <w:rFonts w:asciiTheme="majorHAnsi" w:eastAsia="Calibri" w:hAnsiTheme="majorHAnsi" w:cs="Times New Roman"/>
          <w:color w:val="000000"/>
          <w:shd w:val="clear" w:color="auto" w:fill="FFFFFF"/>
        </w:rPr>
      </w:pPr>
      <w:r w:rsidRPr="00A70F2A">
        <w:rPr>
          <w:rFonts w:asciiTheme="majorHAnsi" w:eastAsia="Calibri" w:hAnsiTheme="majorHAnsi" w:cs="Times New Roman"/>
          <w:color w:val="000000"/>
          <w:shd w:val="clear" w:color="auto" w:fill="FFFFFF"/>
        </w:rPr>
        <w:t>Koptekin D, Aydoğan A, Karamurat C, Altınışık NE, Vural KB, Kazancı DD, Doğu AK, Kaptan D, Gemici HC, Yüncü E, Moots HM, Umurtak G, Duru R, Fidan E, Çevik Ö, Erdoğu B, Korkut T, Knüsel CJ, Haddow S, Larsen CS, Özbal R, Gerritsen F, Özdoğan E, Akbaba A, Usanmaz UO, Derici YC, Uçmazoğlu M, Jay F, Özdoğan M, Götherström A, Erdal YS, Malaspinas AS, Atakuman Ç, Özer F, Somel M. Out-of-Anatolia: Cultural and genetic interactions during the Neolithic expansion in the Aegean. Science. 2025 Jun 26;388(6754):eadr3326. doi: 10.1126/science.adr3326. Epub 2025 Jun 26. PMID: 40570102.</w:t>
      </w:r>
    </w:p>
    <w:p w:rsidR="00A70F2A" w:rsidRPr="00A70F2A" w:rsidRDefault="00A70F2A" w:rsidP="00A70F2A">
      <w:pPr>
        <w:spacing w:after="0" w:line="300" w:lineRule="exact"/>
        <w:jc w:val="both"/>
        <w:rPr>
          <w:rFonts w:asciiTheme="majorHAnsi" w:eastAsia="Calibri" w:hAnsiTheme="majorHAnsi" w:cs="Times New Roman"/>
          <w:color w:val="000000"/>
          <w:shd w:val="clear" w:color="auto" w:fill="FFFFFF"/>
        </w:rPr>
      </w:pPr>
    </w:p>
    <w:p w:rsidR="00A70F2A" w:rsidRPr="00A70F2A" w:rsidRDefault="00A70F2A" w:rsidP="00A70F2A">
      <w:pPr>
        <w:spacing w:after="0" w:line="300" w:lineRule="exact"/>
        <w:jc w:val="both"/>
        <w:rPr>
          <w:rFonts w:asciiTheme="majorHAnsi" w:eastAsia="Calibri" w:hAnsiTheme="majorHAnsi" w:cs="Times New Roman"/>
          <w:color w:val="000000"/>
          <w:shd w:val="clear" w:color="auto" w:fill="FFFFFF"/>
        </w:rPr>
      </w:pPr>
      <w:r w:rsidRPr="00A70F2A">
        <w:rPr>
          <w:rFonts w:asciiTheme="majorHAnsi" w:eastAsia="Calibri" w:hAnsiTheme="majorHAnsi" w:cs="Times New Roman"/>
          <w:color w:val="000000"/>
          <w:shd w:val="clear" w:color="auto" w:fill="FFFFFF"/>
        </w:rPr>
        <w:t>Eryılmaz M, Otuzoğlu J, Tezel U, Demircan O. The influence of ZIF-L in a microbial fuel cell (MFC) cathode for oxygen reduction reaction (ORR). Biotechnol Lett. 2024 Nov 28;47(1):5. doi: 10.1007/s10529-024-03548-2. PMID: 39609312.</w:t>
      </w:r>
    </w:p>
    <w:p w:rsidR="00A70F2A" w:rsidRDefault="00A70F2A" w:rsidP="00C3720A">
      <w:pPr>
        <w:spacing w:after="0" w:line="300" w:lineRule="exact"/>
        <w:jc w:val="both"/>
        <w:rPr>
          <w:rFonts w:asciiTheme="majorHAnsi" w:hAnsiTheme="majorHAnsi"/>
          <w:b/>
        </w:rPr>
      </w:pPr>
    </w:p>
    <w:p w:rsidR="00A70F2A" w:rsidRPr="009B0C8F" w:rsidRDefault="00A70F2A" w:rsidP="00C3720A">
      <w:pPr>
        <w:spacing w:after="0" w:line="300" w:lineRule="exact"/>
        <w:jc w:val="both"/>
        <w:rPr>
          <w:rFonts w:ascii="Cambria" w:eastAsia="Times New Roman" w:hAnsi="Cambria" w:cs="Times New Roman"/>
          <w:lang w:eastAsia="zh-CN"/>
        </w:rPr>
      </w:pPr>
    </w:p>
    <w:p w:rsidR="00EE0986" w:rsidRPr="003904A0" w:rsidRDefault="00C3720A" w:rsidP="00C3720A">
      <w:pPr>
        <w:spacing w:after="0" w:line="300" w:lineRule="exact"/>
        <w:jc w:val="both"/>
        <w:rPr>
          <w:rFonts w:asciiTheme="majorHAnsi" w:eastAsia="Calibri" w:hAnsiTheme="majorHAnsi" w:cs="Times New Roman"/>
          <w:b/>
          <w:color w:val="365F91" w:themeColor="accent1" w:themeShade="BF"/>
          <w:lang w:eastAsia="tr-TR"/>
        </w:rPr>
      </w:pPr>
      <w:r w:rsidRPr="003904A0">
        <w:rPr>
          <w:rFonts w:asciiTheme="majorHAnsi" w:eastAsia="Calibri" w:hAnsiTheme="majorHAnsi" w:cs="Times New Roman"/>
          <w:b/>
          <w:color w:val="365F91" w:themeColor="accent1" w:themeShade="BF"/>
          <w:lang w:eastAsia="tr-TR"/>
        </w:rPr>
        <w:t>Bildiri</w:t>
      </w:r>
    </w:p>
    <w:p w:rsidR="00A70F2A" w:rsidRPr="00A70F2A" w:rsidRDefault="00A70F2A" w:rsidP="00A70F2A">
      <w:pPr>
        <w:shd w:val="clear" w:color="auto" w:fill="FFFFFF"/>
        <w:autoSpaceDE w:val="0"/>
        <w:autoSpaceDN w:val="0"/>
        <w:adjustRightInd w:val="0"/>
        <w:spacing w:after="0" w:line="360" w:lineRule="auto"/>
        <w:jc w:val="both"/>
        <w:rPr>
          <w:rFonts w:asciiTheme="majorHAnsi" w:eastAsiaTheme="minorEastAsia" w:hAnsiTheme="majorHAnsi" w:cs="Times New Roman"/>
          <w:bCs/>
          <w:lang w:eastAsia="zh-CN"/>
        </w:rPr>
      </w:pPr>
      <w:r w:rsidRPr="00A70F2A">
        <w:rPr>
          <w:rFonts w:asciiTheme="majorHAnsi" w:eastAsiaTheme="minorEastAsia" w:hAnsiTheme="majorHAnsi" w:cs="Times New Roman"/>
          <w:b/>
          <w:lang w:eastAsia="zh-CN"/>
        </w:rPr>
        <w:t>Yayımlanmış</w:t>
      </w:r>
    </w:p>
    <w:p w:rsidR="00A70F2A" w:rsidRDefault="00A70F2A" w:rsidP="002B1A5A">
      <w:pPr>
        <w:shd w:val="clear" w:color="auto" w:fill="FFFFFF"/>
        <w:jc w:val="both"/>
        <w:rPr>
          <w:rFonts w:asciiTheme="majorHAnsi" w:eastAsia="Times New Roman" w:hAnsiTheme="majorHAnsi" w:cs="Times New Roman"/>
          <w:color w:val="000000"/>
          <w:lang w:val="en-US"/>
        </w:rPr>
      </w:pPr>
      <w:r w:rsidRPr="00A70F2A">
        <w:rPr>
          <w:rFonts w:asciiTheme="majorHAnsi" w:eastAsia="Times New Roman" w:hAnsiTheme="majorHAnsi" w:cs="Times New Roman"/>
          <w:color w:val="000000"/>
          <w:lang w:val="en-US"/>
        </w:rPr>
        <w:t>Ucel R., Altinbag R.C., Tezel U. “The Mobility of Transposons in Bacteria after Exposure of Quaternary Ammonium Compounds” 8th International Conference on Industrial &amp; Hazardous Waste Management, Chania, Crete, Greece, May 27-31, 2025.</w:t>
      </w:r>
    </w:p>
    <w:p w:rsidR="00A70F2A" w:rsidRPr="00A70F2A" w:rsidRDefault="00A70F2A" w:rsidP="002B1A5A">
      <w:pPr>
        <w:shd w:val="clear" w:color="auto" w:fill="FFFFFF"/>
        <w:jc w:val="both"/>
        <w:rPr>
          <w:rFonts w:asciiTheme="majorHAnsi" w:eastAsia="Times New Roman" w:hAnsiTheme="majorHAnsi" w:cs="Times New Roman"/>
          <w:color w:val="000000"/>
          <w:lang w:val="en-US"/>
        </w:rPr>
      </w:pPr>
    </w:p>
    <w:p w:rsidR="00A70F2A" w:rsidRPr="00A70F2A" w:rsidRDefault="00A70F2A" w:rsidP="00A70F2A">
      <w:pPr>
        <w:shd w:val="clear" w:color="auto" w:fill="FFFFFF"/>
        <w:rPr>
          <w:rFonts w:asciiTheme="majorHAnsi" w:eastAsia="Times New Roman" w:hAnsiTheme="majorHAnsi" w:cs="Times New Roman"/>
          <w:b/>
          <w:color w:val="000000"/>
          <w:lang w:val="en-US"/>
        </w:rPr>
      </w:pPr>
      <w:r w:rsidRPr="00A70F2A">
        <w:rPr>
          <w:rFonts w:asciiTheme="majorHAnsi" w:eastAsia="Times New Roman" w:hAnsiTheme="majorHAnsi" w:cs="Times New Roman"/>
          <w:b/>
          <w:color w:val="000000"/>
          <w:lang w:val="en-US"/>
        </w:rPr>
        <w:t>Yayımlanmamış</w:t>
      </w:r>
    </w:p>
    <w:p w:rsidR="00A70F2A" w:rsidRPr="00A70F2A" w:rsidRDefault="00A70F2A" w:rsidP="00A70F2A">
      <w:pPr>
        <w:shd w:val="clear" w:color="auto" w:fill="FFFFFF"/>
        <w:jc w:val="both"/>
        <w:rPr>
          <w:rFonts w:asciiTheme="majorHAnsi" w:eastAsia="Times New Roman" w:hAnsiTheme="majorHAnsi" w:cs="Times New Roman"/>
          <w:color w:val="000000"/>
          <w:lang w:val="en-US"/>
        </w:rPr>
      </w:pPr>
      <w:r w:rsidRPr="00A70F2A">
        <w:rPr>
          <w:rFonts w:asciiTheme="majorHAnsi" w:eastAsia="Times New Roman" w:hAnsiTheme="majorHAnsi" w:cs="Times New Roman"/>
          <w:color w:val="000000"/>
          <w:lang w:val="en-US"/>
        </w:rPr>
        <w:t>Türkekul, A. Breu, A., Özbal, R., “A Comparison of Organic Residue Analysis on Pottery Vessels from Layer 7 Aşağı Pınar with Results from Other Layers", ISBA11 Inrenational Symposium on Biomolecular Archaeology, Torino, Italy  24-28 August 2025 (Poster)</w:t>
      </w:r>
    </w:p>
    <w:p w:rsidR="00A70F2A" w:rsidRPr="00A70F2A" w:rsidRDefault="00A70F2A" w:rsidP="00A70F2A">
      <w:pPr>
        <w:shd w:val="clear" w:color="auto" w:fill="FFFFFF"/>
        <w:jc w:val="both"/>
        <w:rPr>
          <w:rFonts w:asciiTheme="majorHAnsi" w:eastAsia="Times New Roman" w:hAnsiTheme="majorHAnsi" w:cs="Times New Roman"/>
          <w:color w:val="000000"/>
          <w:lang w:val="en-US"/>
        </w:rPr>
      </w:pPr>
      <w:r w:rsidRPr="00A70F2A">
        <w:rPr>
          <w:rFonts w:asciiTheme="majorHAnsi" w:eastAsia="Times New Roman" w:hAnsiTheme="majorHAnsi" w:cs="Times New Roman"/>
          <w:color w:val="000000"/>
          <w:lang w:val="en-US"/>
        </w:rPr>
        <w:t>Türkekul, A., “Organik Kalıntılarını Okumak: Tarihöncesi Çanak Çömleklerde Yeni Bazı Biyomarkerların GC-MS ile Tayini ve Önemi”, 45. Uluslararası Kazı, Araştırma ve Arkeometri Sempozyumu, Mersin, Turkey, 24-29 May 2025 (Oral)</w:t>
      </w:r>
    </w:p>
    <w:p w:rsidR="00A70F2A" w:rsidRPr="00A70F2A" w:rsidRDefault="00A70F2A" w:rsidP="00A70F2A">
      <w:pPr>
        <w:shd w:val="clear" w:color="auto" w:fill="FFFFFF"/>
        <w:jc w:val="both"/>
        <w:rPr>
          <w:rFonts w:asciiTheme="majorHAnsi" w:eastAsia="Times New Roman" w:hAnsiTheme="majorHAnsi" w:cs="Times New Roman"/>
          <w:color w:val="000000"/>
          <w:lang w:val="en-US"/>
        </w:rPr>
      </w:pPr>
      <w:r w:rsidRPr="00A70F2A">
        <w:rPr>
          <w:rFonts w:asciiTheme="majorHAnsi" w:eastAsia="Times New Roman" w:hAnsiTheme="majorHAnsi" w:cs="Times New Roman"/>
          <w:color w:val="000000"/>
          <w:lang w:val="en-US"/>
        </w:rPr>
        <w:lastRenderedPageBreak/>
        <w:t xml:space="preserve">Özbal, R. (2025, April). Resistance and resilience in the Anatolian fifth millennium BC. Paper presented at the </w:t>
      </w:r>
      <w:proofErr w:type="gramStart"/>
      <w:r w:rsidRPr="00A70F2A">
        <w:rPr>
          <w:rFonts w:asciiTheme="majorHAnsi" w:eastAsia="Times New Roman" w:hAnsiTheme="majorHAnsi" w:cs="Times New Roman"/>
          <w:color w:val="000000"/>
          <w:lang w:val="en-US"/>
        </w:rPr>
        <w:t>7th</w:t>
      </w:r>
      <w:proofErr w:type="gramEnd"/>
      <w:r w:rsidRPr="00A70F2A">
        <w:rPr>
          <w:rFonts w:asciiTheme="majorHAnsi" w:eastAsia="Times New Roman" w:hAnsiTheme="majorHAnsi" w:cs="Times New Roman"/>
          <w:color w:val="000000"/>
          <w:lang w:val="en-US"/>
        </w:rPr>
        <w:t xml:space="preserve"> DAI Research Network Conference: Socio-Ecological Approaches to the History and Archaeology of Anatolia, Istanbul, Türkiye.</w:t>
      </w:r>
    </w:p>
    <w:p w:rsidR="00A70F2A" w:rsidRPr="00A70F2A" w:rsidRDefault="00A70F2A" w:rsidP="00A70F2A">
      <w:pPr>
        <w:shd w:val="clear" w:color="auto" w:fill="FFFFFF"/>
        <w:jc w:val="both"/>
        <w:rPr>
          <w:rFonts w:asciiTheme="majorHAnsi" w:eastAsia="Times New Roman" w:hAnsiTheme="majorHAnsi" w:cs="Times New Roman"/>
          <w:color w:val="000000"/>
          <w:lang w:val="en-US"/>
        </w:rPr>
      </w:pPr>
      <w:r w:rsidRPr="00A70F2A">
        <w:rPr>
          <w:rFonts w:asciiTheme="majorHAnsi" w:eastAsia="Times New Roman" w:hAnsiTheme="majorHAnsi" w:cs="Times New Roman"/>
          <w:color w:val="000000"/>
          <w:lang w:val="en-US"/>
        </w:rPr>
        <w:t>Özbal, R., Üstündağ, H., &amp; Alp, O. (2025, May). Eskişehir Han kazılarında bulunan insan iskelet kalıntılarının kararlı izotop analiz sonuçları. Paper presented at the 45. Uluslararası Kazı, Araştırma ve Arkeometri Sempozyumu, Mersin, Türkiye. https://ukaas45.mersin.edu.tr/</w:t>
      </w:r>
    </w:p>
    <w:p w:rsidR="00A70F2A" w:rsidRPr="00A70F2A" w:rsidRDefault="00A70F2A" w:rsidP="00A70F2A">
      <w:pPr>
        <w:shd w:val="clear" w:color="auto" w:fill="FFFFFF"/>
        <w:jc w:val="both"/>
        <w:rPr>
          <w:rFonts w:asciiTheme="majorHAnsi" w:eastAsia="Times New Roman" w:hAnsiTheme="majorHAnsi" w:cs="Times New Roman"/>
          <w:color w:val="000000"/>
          <w:lang w:val="en-US"/>
        </w:rPr>
      </w:pPr>
      <w:r w:rsidRPr="00A70F2A">
        <w:rPr>
          <w:rFonts w:asciiTheme="majorHAnsi" w:eastAsia="Times New Roman" w:hAnsiTheme="majorHAnsi" w:cs="Times New Roman"/>
          <w:color w:val="000000"/>
          <w:lang w:val="en-US"/>
        </w:rPr>
        <w:t>Özbal, R. (2025, May). 2024 Tell Kurdu kazıları. Paper presented at the 45. Uluslararası Kazı, Araştırma ve Arkeometri Sempozyumu, Mersin, Türkiye. https://ukaas45.mersin.edu.tr/</w:t>
      </w:r>
    </w:p>
    <w:p w:rsidR="00A70F2A" w:rsidRPr="00A70F2A" w:rsidRDefault="00A70F2A" w:rsidP="00A70F2A">
      <w:pPr>
        <w:shd w:val="clear" w:color="auto" w:fill="FFFFFF"/>
        <w:jc w:val="both"/>
        <w:rPr>
          <w:rFonts w:asciiTheme="majorHAnsi" w:eastAsia="Times New Roman" w:hAnsiTheme="majorHAnsi" w:cs="Times New Roman"/>
          <w:color w:val="000000"/>
          <w:lang w:val="en-US"/>
        </w:rPr>
      </w:pPr>
      <w:r w:rsidRPr="00A70F2A">
        <w:rPr>
          <w:rFonts w:asciiTheme="majorHAnsi" w:eastAsia="Times New Roman" w:hAnsiTheme="majorHAnsi" w:cs="Times New Roman"/>
          <w:color w:val="000000"/>
          <w:lang w:val="en-US"/>
        </w:rPr>
        <w:t xml:space="preserve">Özbal, R. (2025, May). Isotope-based insights into Byzantine Anatolia. Paper presented at the </w:t>
      </w:r>
      <w:proofErr w:type="gramStart"/>
      <w:r w:rsidRPr="00A70F2A">
        <w:rPr>
          <w:rFonts w:asciiTheme="majorHAnsi" w:eastAsia="Times New Roman" w:hAnsiTheme="majorHAnsi" w:cs="Times New Roman"/>
          <w:color w:val="000000"/>
          <w:lang w:val="en-US"/>
        </w:rPr>
        <w:t>Spring</w:t>
      </w:r>
      <w:proofErr w:type="gramEnd"/>
      <w:r w:rsidRPr="00A70F2A">
        <w:rPr>
          <w:rFonts w:asciiTheme="majorHAnsi" w:eastAsia="Times New Roman" w:hAnsiTheme="majorHAnsi" w:cs="Times New Roman"/>
          <w:color w:val="000000"/>
          <w:lang w:val="en-US"/>
        </w:rPr>
        <w:t xml:space="preserve"> in Byzantium – GABAM Conference, Istanbul, Türkiye.</w:t>
      </w:r>
    </w:p>
    <w:p w:rsidR="00A70F2A" w:rsidRPr="00A70F2A" w:rsidRDefault="00A70F2A" w:rsidP="00A70F2A">
      <w:pPr>
        <w:shd w:val="clear" w:color="auto" w:fill="FFFFFF"/>
        <w:jc w:val="both"/>
        <w:rPr>
          <w:rFonts w:asciiTheme="majorHAnsi" w:eastAsia="Times New Roman" w:hAnsiTheme="majorHAnsi" w:cs="Times New Roman"/>
          <w:color w:val="000000"/>
          <w:lang w:val="en-US"/>
        </w:rPr>
      </w:pPr>
      <w:r w:rsidRPr="00A70F2A">
        <w:rPr>
          <w:rFonts w:asciiTheme="majorHAnsi" w:eastAsia="Times New Roman" w:hAnsiTheme="majorHAnsi" w:cs="Times New Roman"/>
          <w:color w:val="000000"/>
          <w:lang w:val="en-US"/>
        </w:rPr>
        <w:t>Özbal, H., Breu, A., Thissen, L., Gerritsen, F., van den Bos, E., Galik, A., Doğan, T., Çergel, M., Türkekul, A., &amp; Özbal, R. (2025, August). Four-lugged pots and the dairying revolution in northwestern Anatolia: Lipid residues from Barcın Höyük (6600–6000 BC). Poster presented at the 11th International Society for Biomolecular Archaeology Conference (ISBA 11), Turin, Italy. https://www.isba11.com/</w:t>
      </w:r>
    </w:p>
    <w:p w:rsidR="00A70F2A" w:rsidRPr="00A70F2A" w:rsidRDefault="00A70F2A" w:rsidP="00A70F2A">
      <w:pPr>
        <w:shd w:val="clear" w:color="auto" w:fill="FFFFFF"/>
        <w:jc w:val="both"/>
        <w:rPr>
          <w:rFonts w:asciiTheme="majorHAnsi" w:eastAsia="Times New Roman" w:hAnsiTheme="majorHAnsi" w:cs="Times New Roman"/>
          <w:color w:val="000000"/>
          <w:lang w:val="en-US"/>
        </w:rPr>
      </w:pPr>
      <w:r w:rsidRPr="00A70F2A">
        <w:rPr>
          <w:rFonts w:asciiTheme="majorHAnsi" w:eastAsia="Times New Roman" w:hAnsiTheme="majorHAnsi" w:cs="Times New Roman"/>
          <w:color w:val="000000"/>
          <w:lang w:val="en-US"/>
        </w:rPr>
        <w:t>Özbal, R. (2025, May). Geçmişten günümüze tarımın izinde. Invited lecture at Hatay Hasat – Enginarın İzinde Resim Çalıştayı, Hatay, Türkiye.</w:t>
      </w:r>
    </w:p>
    <w:p w:rsidR="003904A0" w:rsidRDefault="003904A0" w:rsidP="00DC08B4">
      <w:pPr>
        <w:spacing w:after="0" w:line="300" w:lineRule="exact"/>
        <w:jc w:val="both"/>
        <w:rPr>
          <w:rFonts w:asciiTheme="majorHAnsi" w:eastAsia="Times New Roman" w:hAnsiTheme="majorHAnsi" w:cs="Times New Roman"/>
          <w:sz w:val="24"/>
          <w:szCs w:val="24"/>
          <w:lang w:eastAsia="zh-CN"/>
        </w:rPr>
      </w:pPr>
    </w:p>
    <w:p w:rsidR="00DC08B4" w:rsidRPr="00DC08B4" w:rsidRDefault="00735D27" w:rsidP="00DC08B4">
      <w:pPr>
        <w:spacing w:after="0" w:line="300" w:lineRule="exact"/>
        <w:jc w:val="both"/>
        <w:rPr>
          <w:rFonts w:asciiTheme="majorHAnsi" w:eastAsia="Calibri" w:hAnsiTheme="majorHAnsi" w:cs="Times New Roman"/>
          <w:b/>
          <w:color w:val="365F91" w:themeColor="accent1" w:themeShade="BF"/>
          <w:sz w:val="28"/>
          <w:szCs w:val="24"/>
          <w:lang w:eastAsia="tr-TR"/>
        </w:rPr>
      </w:pPr>
      <w:r>
        <w:rPr>
          <w:rFonts w:asciiTheme="majorHAnsi" w:eastAsia="Calibri" w:hAnsiTheme="majorHAnsi" w:cs="Times New Roman"/>
          <w:b/>
          <w:color w:val="365F91" w:themeColor="accent1" w:themeShade="BF"/>
          <w:sz w:val="28"/>
          <w:szCs w:val="24"/>
          <w:lang w:eastAsia="tr-TR"/>
        </w:rPr>
        <w:t>I</w:t>
      </w:r>
      <w:r w:rsidR="003973AF">
        <w:rPr>
          <w:rFonts w:asciiTheme="majorHAnsi" w:eastAsia="Calibri" w:hAnsiTheme="majorHAnsi" w:cs="Times New Roman"/>
          <w:b/>
          <w:color w:val="365F91" w:themeColor="accent1" w:themeShade="BF"/>
          <w:sz w:val="28"/>
          <w:szCs w:val="24"/>
          <w:lang w:eastAsia="tr-TR"/>
        </w:rPr>
        <w:t>X</w:t>
      </w:r>
      <w:r w:rsidR="004E5110">
        <w:rPr>
          <w:rFonts w:asciiTheme="majorHAnsi" w:eastAsia="Calibri" w:hAnsiTheme="majorHAnsi" w:cs="Times New Roman"/>
          <w:b/>
          <w:color w:val="365F91" w:themeColor="accent1" w:themeShade="BF"/>
          <w:sz w:val="28"/>
          <w:szCs w:val="24"/>
          <w:lang w:eastAsia="tr-TR"/>
        </w:rPr>
        <w:t>-</w:t>
      </w:r>
      <w:r w:rsidR="00DC08B4" w:rsidRPr="00C025C9">
        <w:rPr>
          <w:rFonts w:asciiTheme="majorHAnsi" w:eastAsia="Calibri" w:hAnsiTheme="majorHAnsi" w:cs="Times New Roman"/>
          <w:b/>
          <w:color w:val="365F91" w:themeColor="accent1" w:themeShade="BF"/>
          <w:sz w:val="28"/>
          <w:szCs w:val="24"/>
          <w:lang w:eastAsia="tr-TR"/>
        </w:rPr>
        <w:t>MERKEZDE SÜRDÜRÜLEN PROJELER VE RAPOR DÖNEMİNDE TAMAMLANAN PROJELER</w:t>
      </w:r>
    </w:p>
    <w:p w:rsidR="00DC08B4" w:rsidRPr="00D25745" w:rsidRDefault="00DC08B4" w:rsidP="00C3720A">
      <w:pPr>
        <w:spacing w:after="0" w:line="300" w:lineRule="exact"/>
        <w:jc w:val="both"/>
        <w:rPr>
          <w:rFonts w:asciiTheme="majorHAnsi" w:eastAsia="Calibri" w:hAnsiTheme="majorHAnsi" w:cs="Times New Roman"/>
          <w:b/>
          <w:color w:val="365F91" w:themeColor="accent1" w:themeShade="BF"/>
          <w:sz w:val="24"/>
          <w:szCs w:val="24"/>
          <w:lang w:eastAsia="tr-TR"/>
        </w:rPr>
      </w:pPr>
    </w:p>
    <w:tbl>
      <w:tblPr>
        <w:tblStyle w:val="TabloKlavuzu5"/>
        <w:tblW w:w="9361" w:type="dxa"/>
        <w:jc w:val="center"/>
        <w:tblLayout w:type="fixed"/>
        <w:tblLook w:val="04A0" w:firstRow="1" w:lastRow="0" w:firstColumn="1" w:lastColumn="0" w:noHBand="0" w:noVBand="1"/>
      </w:tblPr>
      <w:tblGrid>
        <w:gridCol w:w="2557"/>
        <w:gridCol w:w="1418"/>
        <w:gridCol w:w="1559"/>
        <w:gridCol w:w="1276"/>
        <w:gridCol w:w="1417"/>
        <w:gridCol w:w="1134"/>
      </w:tblGrid>
      <w:tr w:rsidR="0080373B" w:rsidRPr="0080373B" w:rsidTr="0080373B">
        <w:trPr>
          <w:trHeight w:val="708"/>
          <w:jc w:val="center"/>
        </w:trPr>
        <w:tc>
          <w:tcPr>
            <w:tcW w:w="2557" w:type="dxa"/>
            <w:shd w:val="clear" w:color="auto" w:fill="95B3D7"/>
            <w:vAlign w:val="center"/>
          </w:tcPr>
          <w:p w:rsidR="0080373B" w:rsidRPr="0080373B" w:rsidRDefault="0080373B" w:rsidP="0080373B">
            <w:pPr>
              <w:spacing w:line="360" w:lineRule="auto"/>
              <w:jc w:val="center"/>
              <w:rPr>
                <w:rFonts w:asciiTheme="majorHAnsi" w:eastAsia="Times New Roman" w:hAnsiTheme="majorHAnsi" w:cs="Times New Roman"/>
              </w:rPr>
            </w:pPr>
            <w:r w:rsidRPr="0080373B">
              <w:rPr>
                <w:rFonts w:asciiTheme="majorHAnsi" w:eastAsia="Times New Roman" w:hAnsiTheme="majorHAnsi" w:cs="Times New Roman"/>
                <w:b/>
                <w:bCs/>
                <w:lang w:eastAsia="zh-CN"/>
              </w:rPr>
              <w:t>Proje Adı</w:t>
            </w:r>
          </w:p>
        </w:tc>
        <w:tc>
          <w:tcPr>
            <w:tcW w:w="1418" w:type="dxa"/>
            <w:shd w:val="clear" w:color="auto" w:fill="95B3D7"/>
            <w:vAlign w:val="center"/>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b/>
                <w:bCs/>
                <w:lang w:eastAsia="zh-CN"/>
              </w:rPr>
              <w:t>Yürütücü-Ortak Yürütücü</w:t>
            </w:r>
          </w:p>
        </w:tc>
        <w:tc>
          <w:tcPr>
            <w:tcW w:w="1559" w:type="dxa"/>
            <w:shd w:val="clear" w:color="auto" w:fill="95B3D7"/>
            <w:vAlign w:val="center"/>
          </w:tcPr>
          <w:p w:rsidR="0080373B" w:rsidRPr="0080373B" w:rsidRDefault="0080373B" w:rsidP="0080373B">
            <w:pPr>
              <w:spacing w:line="360" w:lineRule="auto"/>
              <w:rPr>
                <w:rFonts w:asciiTheme="majorHAnsi" w:eastAsia="Times New Roman" w:hAnsiTheme="majorHAnsi" w:cs="Times New Roman"/>
                <w:b/>
                <w:bCs/>
                <w:lang w:eastAsia="zh-CN"/>
              </w:rPr>
            </w:pPr>
            <w:r w:rsidRPr="0080373B">
              <w:rPr>
                <w:rFonts w:asciiTheme="majorHAnsi" w:eastAsia="Times New Roman" w:hAnsiTheme="majorHAnsi" w:cs="Times New Roman"/>
                <w:b/>
                <w:bCs/>
                <w:lang w:eastAsia="zh-CN"/>
              </w:rPr>
              <w:t>Destekleyen Kurum/</w:t>
            </w:r>
          </w:p>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b/>
                <w:bCs/>
                <w:lang w:eastAsia="zh-CN"/>
              </w:rPr>
              <w:t>Kuruluş</w:t>
            </w:r>
          </w:p>
        </w:tc>
        <w:tc>
          <w:tcPr>
            <w:tcW w:w="1276" w:type="dxa"/>
            <w:shd w:val="clear" w:color="auto" w:fill="95B3D7"/>
            <w:vAlign w:val="center"/>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b/>
                <w:bCs/>
                <w:lang w:eastAsia="zh-CN"/>
              </w:rPr>
              <w:t>Proje Bütçesi</w:t>
            </w:r>
          </w:p>
        </w:tc>
        <w:tc>
          <w:tcPr>
            <w:tcW w:w="1417" w:type="dxa"/>
            <w:shd w:val="clear" w:color="auto" w:fill="95B3D7"/>
            <w:vAlign w:val="center"/>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b/>
                <w:bCs/>
                <w:lang w:eastAsia="zh-CN"/>
              </w:rPr>
              <w:t>Başlangıç Tarihi</w:t>
            </w:r>
          </w:p>
        </w:tc>
        <w:tc>
          <w:tcPr>
            <w:tcW w:w="1134" w:type="dxa"/>
            <w:shd w:val="clear" w:color="auto" w:fill="95B3D7"/>
            <w:vAlign w:val="center"/>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b/>
                <w:bCs/>
                <w:lang w:eastAsia="zh-CN"/>
              </w:rPr>
              <w:t>Durumu</w:t>
            </w:r>
          </w:p>
        </w:tc>
      </w:tr>
      <w:tr w:rsidR="0080373B" w:rsidRPr="0080373B" w:rsidTr="0080373B">
        <w:trPr>
          <w:trHeight w:val="246"/>
          <w:jc w:val="center"/>
        </w:trPr>
        <w:tc>
          <w:tcPr>
            <w:tcW w:w="2557"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Ksenofonksiyonel Mikrobiyom: Kimyasal kaynaklı hastalıklara karşı önleyici pregenobiyotikler geliştirilmesi</w:t>
            </w:r>
          </w:p>
        </w:tc>
        <w:tc>
          <w:tcPr>
            <w:tcW w:w="1418" w:type="dxa"/>
          </w:tcPr>
          <w:p w:rsidR="0080373B" w:rsidRPr="0080373B" w:rsidRDefault="0080373B" w:rsidP="0080373B">
            <w:pPr>
              <w:spacing w:line="360" w:lineRule="auto"/>
              <w:rPr>
                <w:rFonts w:asciiTheme="majorHAnsi" w:eastAsia="Times New Roman" w:hAnsiTheme="majorHAnsi" w:cs="Times New Roman"/>
              </w:rPr>
            </w:pPr>
            <w:r>
              <w:rPr>
                <w:rFonts w:ascii="Georgia" w:hAnsi="Georgia"/>
                <w:color w:val="424242"/>
                <w:sz w:val="20"/>
                <w:szCs w:val="20"/>
                <w:shd w:val="clear" w:color="auto" w:fill="FFFFFF"/>
              </w:rPr>
              <w:t>Doç. Dr. Ulaş TEZEL</w:t>
            </w:r>
          </w:p>
        </w:tc>
        <w:tc>
          <w:tcPr>
            <w:tcW w:w="1559"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BU</w:t>
            </w:r>
          </w:p>
        </w:tc>
        <w:tc>
          <w:tcPr>
            <w:tcW w:w="1276"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5.988.533</w:t>
            </w:r>
          </w:p>
        </w:tc>
        <w:tc>
          <w:tcPr>
            <w:tcW w:w="1417"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14.06.2024</w:t>
            </w:r>
          </w:p>
        </w:tc>
        <w:tc>
          <w:tcPr>
            <w:tcW w:w="1134"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Devam</w:t>
            </w:r>
          </w:p>
        </w:tc>
      </w:tr>
      <w:tr w:rsidR="0080373B" w:rsidRPr="0080373B" w:rsidTr="0080373B">
        <w:trPr>
          <w:trHeight w:val="246"/>
          <w:jc w:val="center"/>
        </w:trPr>
        <w:tc>
          <w:tcPr>
            <w:tcW w:w="2557"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 xml:space="preserve">Zaman kampsülündeki bakteri: Mumyalanmış bakterilerden antik DNA </w:t>
            </w:r>
            <w:proofErr w:type="gramStart"/>
            <w:r w:rsidRPr="0080373B">
              <w:rPr>
                <w:rFonts w:asciiTheme="majorHAnsi" w:eastAsia="Times New Roman" w:hAnsiTheme="majorHAnsi" w:cs="Times New Roman"/>
              </w:rPr>
              <w:t>izolasyonu</w:t>
            </w:r>
            <w:proofErr w:type="gramEnd"/>
            <w:r w:rsidRPr="0080373B">
              <w:rPr>
                <w:rFonts w:asciiTheme="majorHAnsi" w:eastAsia="Times New Roman" w:hAnsiTheme="majorHAnsi" w:cs="Times New Roman"/>
              </w:rPr>
              <w:t>, zenginleştirilmesi ve dizilenmesi</w:t>
            </w:r>
          </w:p>
        </w:tc>
        <w:tc>
          <w:tcPr>
            <w:tcW w:w="1418" w:type="dxa"/>
          </w:tcPr>
          <w:p w:rsidR="0080373B" w:rsidRPr="0080373B" w:rsidRDefault="0080373B" w:rsidP="0080373B">
            <w:pPr>
              <w:spacing w:line="360" w:lineRule="auto"/>
              <w:rPr>
                <w:rFonts w:asciiTheme="majorHAnsi" w:eastAsia="Times New Roman" w:hAnsiTheme="majorHAnsi" w:cs="Times New Roman"/>
                <w:lang w:val="en-US"/>
              </w:rPr>
            </w:pPr>
            <w:r>
              <w:rPr>
                <w:rFonts w:ascii="Georgia" w:hAnsi="Georgia"/>
                <w:color w:val="424242"/>
                <w:sz w:val="20"/>
                <w:szCs w:val="20"/>
                <w:shd w:val="clear" w:color="auto" w:fill="FFFFFF"/>
              </w:rPr>
              <w:t>Doç. Dr. Ulaş TEZEL</w:t>
            </w:r>
          </w:p>
        </w:tc>
        <w:tc>
          <w:tcPr>
            <w:tcW w:w="1559"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BU</w:t>
            </w:r>
          </w:p>
        </w:tc>
        <w:tc>
          <w:tcPr>
            <w:tcW w:w="1276"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993.908</w:t>
            </w:r>
          </w:p>
        </w:tc>
        <w:tc>
          <w:tcPr>
            <w:tcW w:w="1417"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26.11.2025</w:t>
            </w:r>
          </w:p>
        </w:tc>
        <w:tc>
          <w:tcPr>
            <w:tcW w:w="1134"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Devam</w:t>
            </w:r>
          </w:p>
        </w:tc>
      </w:tr>
      <w:tr w:rsidR="0080373B" w:rsidRPr="0080373B" w:rsidTr="0080373B">
        <w:trPr>
          <w:trHeight w:val="246"/>
          <w:jc w:val="center"/>
        </w:trPr>
        <w:tc>
          <w:tcPr>
            <w:tcW w:w="2557"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lastRenderedPageBreak/>
              <w:t>QxyAR operon proteinlerinin farklı dördüncül amonyum dezenfektanları ile yapısal etkileşimi</w:t>
            </w:r>
          </w:p>
        </w:tc>
        <w:tc>
          <w:tcPr>
            <w:tcW w:w="1418" w:type="dxa"/>
          </w:tcPr>
          <w:p w:rsidR="0080373B" w:rsidRPr="0080373B" w:rsidRDefault="0080373B" w:rsidP="0080373B">
            <w:pPr>
              <w:spacing w:line="360" w:lineRule="auto"/>
              <w:rPr>
                <w:rFonts w:asciiTheme="majorHAnsi" w:eastAsia="Times New Roman" w:hAnsiTheme="majorHAnsi" w:cs="Times New Roman"/>
              </w:rPr>
            </w:pPr>
            <w:r>
              <w:rPr>
                <w:rFonts w:ascii="Georgia" w:hAnsi="Georgia"/>
                <w:color w:val="424242"/>
                <w:sz w:val="20"/>
                <w:szCs w:val="20"/>
                <w:shd w:val="clear" w:color="auto" w:fill="FFFFFF"/>
              </w:rPr>
              <w:t>Doç. Dr. Ulaş TEZEL</w:t>
            </w:r>
          </w:p>
        </w:tc>
        <w:tc>
          <w:tcPr>
            <w:tcW w:w="1559"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BU</w:t>
            </w:r>
          </w:p>
        </w:tc>
        <w:tc>
          <w:tcPr>
            <w:tcW w:w="1276"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995.075</w:t>
            </w:r>
          </w:p>
        </w:tc>
        <w:tc>
          <w:tcPr>
            <w:tcW w:w="1417"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26.11.2025</w:t>
            </w:r>
          </w:p>
        </w:tc>
        <w:tc>
          <w:tcPr>
            <w:tcW w:w="1134"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Devam</w:t>
            </w:r>
          </w:p>
        </w:tc>
      </w:tr>
      <w:tr w:rsidR="0080373B" w:rsidRPr="0080373B" w:rsidTr="0080373B">
        <w:trPr>
          <w:trHeight w:val="246"/>
          <w:jc w:val="center"/>
        </w:trPr>
        <w:tc>
          <w:tcPr>
            <w:tcW w:w="2557"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Reincarnation of Ancient Insertion Sequences to Adapt Diet under Climate Crisis (RAIS)</w:t>
            </w:r>
          </w:p>
        </w:tc>
        <w:tc>
          <w:tcPr>
            <w:tcW w:w="1418" w:type="dxa"/>
          </w:tcPr>
          <w:p w:rsidR="0080373B" w:rsidRPr="0080373B" w:rsidRDefault="0080373B" w:rsidP="0080373B">
            <w:pPr>
              <w:spacing w:line="360" w:lineRule="auto"/>
              <w:rPr>
                <w:rFonts w:asciiTheme="majorHAnsi" w:eastAsia="Times New Roman" w:hAnsiTheme="majorHAnsi" w:cs="Times New Roman"/>
              </w:rPr>
            </w:pPr>
            <w:r>
              <w:rPr>
                <w:rFonts w:ascii="Georgia" w:hAnsi="Georgia"/>
                <w:color w:val="424242"/>
                <w:sz w:val="20"/>
                <w:szCs w:val="20"/>
                <w:shd w:val="clear" w:color="auto" w:fill="FFFFFF"/>
              </w:rPr>
              <w:t>Doç. Dr. Ulaş TEZEL</w:t>
            </w:r>
          </w:p>
        </w:tc>
        <w:tc>
          <w:tcPr>
            <w:tcW w:w="1559"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BIOCODEX</w:t>
            </w:r>
          </w:p>
        </w:tc>
        <w:tc>
          <w:tcPr>
            <w:tcW w:w="1276"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200.000€</w:t>
            </w:r>
          </w:p>
        </w:tc>
        <w:tc>
          <w:tcPr>
            <w:tcW w:w="1417" w:type="dxa"/>
          </w:tcPr>
          <w:p w:rsidR="0080373B" w:rsidRPr="0080373B" w:rsidRDefault="0080373B" w:rsidP="0080373B">
            <w:pPr>
              <w:spacing w:line="360" w:lineRule="auto"/>
              <w:rPr>
                <w:rFonts w:asciiTheme="majorHAnsi" w:eastAsia="Times New Roman" w:hAnsiTheme="majorHAnsi" w:cs="Times New Roman"/>
              </w:rPr>
            </w:pPr>
          </w:p>
        </w:tc>
        <w:tc>
          <w:tcPr>
            <w:tcW w:w="1134" w:type="dxa"/>
          </w:tcPr>
          <w:p w:rsidR="0080373B" w:rsidRPr="0080373B" w:rsidRDefault="0080373B" w:rsidP="0080373B">
            <w:pPr>
              <w:spacing w:line="360" w:lineRule="auto"/>
              <w:rPr>
                <w:rFonts w:asciiTheme="majorHAnsi" w:eastAsia="Times New Roman" w:hAnsiTheme="majorHAnsi" w:cs="Times New Roman"/>
              </w:rPr>
            </w:pPr>
            <w:r w:rsidRPr="0080373B">
              <w:rPr>
                <w:rFonts w:asciiTheme="majorHAnsi" w:eastAsia="Times New Roman" w:hAnsiTheme="majorHAnsi" w:cs="Times New Roman"/>
              </w:rPr>
              <w:t>Değerlendirme aşamasında</w:t>
            </w:r>
          </w:p>
        </w:tc>
      </w:tr>
    </w:tbl>
    <w:p w:rsidR="004A10FF" w:rsidRDefault="004A10FF" w:rsidP="003973AF">
      <w:pPr>
        <w:autoSpaceDE w:val="0"/>
        <w:autoSpaceDN w:val="0"/>
        <w:adjustRightInd w:val="0"/>
        <w:spacing w:after="0" w:line="300" w:lineRule="exact"/>
        <w:rPr>
          <w:rFonts w:asciiTheme="majorHAnsi" w:eastAsia="Calibri" w:hAnsiTheme="majorHAnsi" w:cs="Times New Roman"/>
          <w:sz w:val="24"/>
          <w:szCs w:val="24"/>
          <w:lang w:eastAsia="ko-KR"/>
        </w:rPr>
      </w:pPr>
    </w:p>
    <w:p w:rsidR="003973AF" w:rsidRPr="00D25745" w:rsidRDefault="003973AF" w:rsidP="003973AF">
      <w:pPr>
        <w:autoSpaceDE w:val="0"/>
        <w:autoSpaceDN w:val="0"/>
        <w:adjustRightInd w:val="0"/>
        <w:spacing w:after="0" w:line="300" w:lineRule="exact"/>
        <w:rPr>
          <w:rFonts w:asciiTheme="majorHAnsi" w:eastAsia="Calibri" w:hAnsiTheme="majorHAnsi" w:cs="Times New Roman"/>
          <w:sz w:val="24"/>
          <w:szCs w:val="24"/>
          <w:lang w:eastAsia="ko-KR"/>
        </w:rPr>
      </w:pPr>
    </w:p>
    <w:p w:rsidR="00434236" w:rsidRPr="00D25745" w:rsidRDefault="005A5BCD" w:rsidP="008915F6">
      <w:pPr>
        <w:spacing w:after="0" w:line="280" w:lineRule="exact"/>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X</w:t>
      </w:r>
      <w:r w:rsidR="00765AB3" w:rsidRPr="00D25745">
        <w:rPr>
          <w:rFonts w:asciiTheme="majorHAnsi" w:eastAsia="Calibri" w:hAnsiTheme="majorHAnsi" w:cs="Times New Roman"/>
          <w:b/>
          <w:color w:val="365F91" w:themeColor="accent1" w:themeShade="BF"/>
          <w:sz w:val="28"/>
          <w:szCs w:val="28"/>
          <w:lang w:eastAsia="tr-TR"/>
        </w:rPr>
        <w:t xml:space="preserve">- </w:t>
      </w:r>
      <w:r w:rsidR="00434236" w:rsidRPr="00D25745">
        <w:rPr>
          <w:rFonts w:asciiTheme="majorHAnsi" w:eastAsia="Calibri" w:hAnsiTheme="majorHAnsi" w:cs="Times New Roman"/>
          <w:b/>
          <w:color w:val="365F91" w:themeColor="accent1" w:themeShade="BF"/>
          <w:sz w:val="28"/>
          <w:szCs w:val="28"/>
          <w:lang w:eastAsia="tr-TR"/>
        </w:rPr>
        <w:t>MERKEZİN 20</w:t>
      </w:r>
      <w:r w:rsidR="00C9425E" w:rsidRPr="00D25745">
        <w:rPr>
          <w:rFonts w:asciiTheme="majorHAnsi" w:eastAsia="Calibri" w:hAnsiTheme="majorHAnsi" w:cs="Times New Roman"/>
          <w:b/>
          <w:color w:val="365F91" w:themeColor="accent1" w:themeShade="BF"/>
          <w:sz w:val="28"/>
          <w:szCs w:val="28"/>
          <w:lang w:eastAsia="tr-TR"/>
        </w:rPr>
        <w:t>2</w:t>
      </w:r>
      <w:r>
        <w:rPr>
          <w:rFonts w:asciiTheme="majorHAnsi" w:eastAsia="Calibri" w:hAnsiTheme="majorHAnsi" w:cs="Times New Roman"/>
          <w:b/>
          <w:color w:val="365F91" w:themeColor="accent1" w:themeShade="BF"/>
          <w:sz w:val="28"/>
          <w:szCs w:val="28"/>
          <w:lang w:eastAsia="tr-TR"/>
        </w:rPr>
        <w:t>6</w:t>
      </w:r>
      <w:r w:rsidR="00B96445" w:rsidRPr="00D25745">
        <w:rPr>
          <w:rFonts w:asciiTheme="majorHAnsi" w:eastAsia="Calibri" w:hAnsiTheme="majorHAnsi" w:cs="Times New Roman"/>
          <w:b/>
          <w:color w:val="365F91" w:themeColor="accent1" w:themeShade="BF"/>
          <w:sz w:val="28"/>
          <w:szCs w:val="28"/>
          <w:lang w:eastAsia="tr-TR"/>
        </w:rPr>
        <w:t xml:space="preserve"> </w:t>
      </w:r>
      <w:r w:rsidR="00434236" w:rsidRPr="00D25745">
        <w:rPr>
          <w:rFonts w:asciiTheme="majorHAnsi" w:eastAsia="Calibri" w:hAnsiTheme="majorHAnsi" w:cs="Times New Roman"/>
          <w:b/>
          <w:color w:val="365F91" w:themeColor="accent1" w:themeShade="BF"/>
          <w:sz w:val="28"/>
          <w:szCs w:val="28"/>
          <w:lang w:eastAsia="tr-TR"/>
        </w:rPr>
        <w:t>YILI İÇİN YILLIK ÇALIŞMA PROGRAMI</w:t>
      </w:r>
    </w:p>
    <w:p w:rsidR="00CE7D76" w:rsidRPr="00D25745" w:rsidRDefault="00CE7D76" w:rsidP="008915F6">
      <w:pPr>
        <w:spacing w:after="0" w:line="280" w:lineRule="exact"/>
        <w:rPr>
          <w:rFonts w:asciiTheme="majorHAnsi" w:eastAsia="Calibri" w:hAnsiTheme="majorHAnsi" w:cs="Times New Roman"/>
          <w:b/>
          <w:color w:val="365F91" w:themeColor="accent1" w:themeShade="BF"/>
          <w:sz w:val="28"/>
          <w:szCs w:val="28"/>
          <w:lang w:eastAsia="tr-TR"/>
        </w:rPr>
      </w:pPr>
    </w:p>
    <w:p w:rsidR="00B96445" w:rsidRPr="005A5BCD" w:rsidRDefault="00F50C5B" w:rsidP="005A5BCD">
      <w:pPr>
        <w:spacing w:after="0" w:line="280" w:lineRule="exact"/>
        <w:rPr>
          <w:rFonts w:asciiTheme="majorHAnsi" w:eastAsia="Calibri" w:hAnsiTheme="majorHAnsi" w:cs="InterstateLight"/>
          <w:b/>
          <w:lang w:val="de-DE"/>
        </w:rPr>
      </w:pPr>
      <w:r w:rsidRPr="00D25745">
        <w:rPr>
          <w:rFonts w:asciiTheme="majorHAnsi" w:eastAsia="Calibri" w:hAnsiTheme="majorHAnsi" w:cs="InterstateLight"/>
          <w:b/>
          <w:lang w:val="de-DE"/>
        </w:rPr>
        <w:t>Performans Değerlendirme Kriterleri</w:t>
      </w:r>
    </w:p>
    <w:p w:rsidR="005A5BCD" w:rsidRDefault="005A5BCD" w:rsidP="00395F57">
      <w:pPr>
        <w:spacing w:after="0" w:line="300" w:lineRule="exact"/>
        <w:jc w:val="both"/>
        <w:rPr>
          <w:rFonts w:asciiTheme="majorHAnsi" w:eastAsia="Calibri" w:hAnsiTheme="majorHAnsi" w:cs="Times New Roman"/>
          <w:b/>
          <w:color w:val="365F91" w:themeColor="accent1" w:themeShade="BF"/>
          <w:sz w:val="28"/>
          <w:szCs w:val="2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693"/>
        <w:gridCol w:w="1985"/>
      </w:tblGrid>
      <w:tr w:rsidR="005A5BCD" w:rsidRPr="005A5BCD" w:rsidTr="005A5BCD">
        <w:tc>
          <w:tcPr>
            <w:tcW w:w="2972" w:type="dxa"/>
          </w:tcPr>
          <w:p w:rsidR="005A5BCD" w:rsidRPr="005A5BCD" w:rsidRDefault="005A5BCD" w:rsidP="005A5BCD">
            <w:pPr>
              <w:spacing w:after="0" w:line="240" w:lineRule="auto"/>
              <w:rPr>
                <w:rFonts w:asciiTheme="majorHAnsi" w:eastAsia="Times New Roman" w:hAnsiTheme="majorHAnsi" w:cs="Arial"/>
                <w:b/>
                <w:bCs/>
                <w:lang w:val="en-US" w:eastAsia="zh-CN"/>
              </w:rPr>
            </w:pPr>
            <w:r w:rsidRPr="005A5BCD">
              <w:rPr>
                <w:rFonts w:asciiTheme="majorHAnsi" w:eastAsia="Times New Roman" w:hAnsiTheme="majorHAnsi" w:cs="Arial"/>
                <w:b/>
                <w:bCs/>
                <w:lang w:val="en-US" w:eastAsia="zh-CN"/>
              </w:rPr>
              <w:t>Performans Alanı</w:t>
            </w:r>
          </w:p>
        </w:tc>
        <w:tc>
          <w:tcPr>
            <w:tcW w:w="2693" w:type="dxa"/>
          </w:tcPr>
          <w:p w:rsidR="005A5BCD" w:rsidRPr="005A5BCD" w:rsidRDefault="005A5BCD" w:rsidP="005A5BCD">
            <w:pPr>
              <w:spacing w:after="0" w:line="240" w:lineRule="auto"/>
              <w:rPr>
                <w:rFonts w:asciiTheme="majorHAnsi" w:eastAsia="Times New Roman" w:hAnsiTheme="majorHAnsi" w:cs="Arial"/>
                <w:b/>
                <w:bCs/>
                <w:lang w:val="en-US" w:eastAsia="zh-CN"/>
              </w:rPr>
            </w:pPr>
            <w:r w:rsidRPr="005A5BCD">
              <w:rPr>
                <w:rFonts w:asciiTheme="majorHAnsi" w:eastAsia="Times New Roman" w:hAnsiTheme="majorHAnsi" w:cs="Arial"/>
                <w:b/>
                <w:bCs/>
                <w:lang w:val="en-US" w:eastAsia="zh-CN"/>
              </w:rPr>
              <w:t>Performans Göstergesi</w:t>
            </w:r>
          </w:p>
        </w:tc>
        <w:tc>
          <w:tcPr>
            <w:tcW w:w="1985" w:type="dxa"/>
          </w:tcPr>
          <w:p w:rsidR="005A5BCD" w:rsidRPr="005A5BCD" w:rsidRDefault="005A5BCD" w:rsidP="005A5BCD">
            <w:pPr>
              <w:spacing w:after="0" w:line="240" w:lineRule="auto"/>
              <w:rPr>
                <w:rFonts w:asciiTheme="majorHAnsi" w:eastAsia="Times New Roman" w:hAnsiTheme="majorHAnsi" w:cs="Arial"/>
                <w:b/>
                <w:bCs/>
                <w:lang w:val="en-US" w:eastAsia="zh-CN"/>
              </w:rPr>
            </w:pPr>
            <w:r w:rsidRPr="005A5BCD">
              <w:rPr>
                <w:rFonts w:asciiTheme="majorHAnsi" w:eastAsia="Times New Roman" w:hAnsiTheme="majorHAnsi" w:cs="Arial"/>
                <w:b/>
                <w:bCs/>
                <w:lang w:val="en-US" w:eastAsia="zh-CN"/>
              </w:rPr>
              <w:t>Yıllık Hedef</w:t>
            </w:r>
          </w:p>
        </w:tc>
      </w:tr>
      <w:tr w:rsidR="005A5BCD" w:rsidRPr="005A5BCD" w:rsidTr="005A5BCD">
        <w:tc>
          <w:tcPr>
            <w:tcW w:w="2972"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Bilimsel Yayınlar</w:t>
            </w:r>
          </w:p>
        </w:tc>
        <w:tc>
          <w:tcPr>
            <w:tcW w:w="2693"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Uluslararası hakemli dergilerde yayımlanan makale sayısı</w:t>
            </w:r>
          </w:p>
        </w:tc>
        <w:tc>
          <w:tcPr>
            <w:tcW w:w="1985"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3</w:t>
            </w:r>
          </w:p>
        </w:tc>
      </w:tr>
      <w:tr w:rsidR="005A5BCD" w:rsidRPr="005A5BCD" w:rsidTr="005A5BCD">
        <w:tc>
          <w:tcPr>
            <w:tcW w:w="2972"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Bilimsel Yayınlar</w:t>
            </w:r>
          </w:p>
        </w:tc>
        <w:tc>
          <w:tcPr>
            <w:tcW w:w="2693"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Q1 / yüksek etki faktörlü dergilerde yayın sayısı</w:t>
            </w:r>
          </w:p>
        </w:tc>
        <w:tc>
          <w:tcPr>
            <w:tcW w:w="1985"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2</w:t>
            </w:r>
          </w:p>
        </w:tc>
      </w:tr>
      <w:tr w:rsidR="005A5BCD" w:rsidRPr="005A5BCD" w:rsidTr="005A5BCD">
        <w:tc>
          <w:tcPr>
            <w:tcW w:w="2972"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Bilimsel Toplantılar</w:t>
            </w:r>
          </w:p>
        </w:tc>
        <w:tc>
          <w:tcPr>
            <w:tcW w:w="2693"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Uluslararası konferanslarda sunulan bildiri sayısı</w:t>
            </w:r>
          </w:p>
        </w:tc>
        <w:tc>
          <w:tcPr>
            <w:tcW w:w="1985"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3</w:t>
            </w:r>
          </w:p>
        </w:tc>
      </w:tr>
      <w:tr w:rsidR="005A5BCD" w:rsidRPr="005A5BCD" w:rsidTr="005A5BCD">
        <w:tc>
          <w:tcPr>
            <w:tcW w:w="2972"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Bilimsel Toplantılar</w:t>
            </w:r>
          </w:p>
        </w:tc>
        <w:tc>
          <w:tcPr>
            <w:tcW w:w="2693"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Ulusal bilimsel toplantılarda sunulan bildiri sayısı</w:t>
            </w:r>
          </w:p>
        </w:tc>
        <w:tc>
          <w:tcPr>
            <w:tcW w:w="1985"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2</w:t>
            </w:r>
          </w:p>
        </w:tc>
      </w:tr>
      <w:tr w:rsidR="005A5BCD" w:rsidRPr="005A5BCD" w:rsidTr="005A5BCD">
        <w:tc>
          <w:tcPr>
            <w:tcW w:w="2972"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Araştırma Faaliyetleri</w:t>
            </w:r>
          </w:p>
        </w:tc>
        <w:tc>
          <w:tcPr>
            <w:tcW w:w="2693"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Aktif araştırma/kazı temelli çalışma sayısı</w:t>
            </w:r>
          </w:p>
        </w:tc>
        <w:tc>
          <w:tcPr>
            <w:tcW w:w="1985"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3</w:t>
            </w:r>
          </w:p>
        </w:tc>
      </w:tr>
      <w:tr w:rsidR="005A5BCD" w:rsidRPr="005A5BCD" w:rsidTr="005A5BCD">
        <w:tc>
          <w:tcPr>
            <w:tcW w:w="2972"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Araştırma Faaliyetleri</w:t>
            </w:r>
          </w:p>
        </w:tc>
        <w:tc>
          <w:tcPr>
            <w:tcW w:w="2693"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Uluslararası iş birlikli araştırma faaliyeti sayısı</w:t>
            </w:r>
          </w:p>
        </w:tc>
        <w:tc>
          <w:tcPr>
            <w:tcW w:w="1985"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1</w:t>
            </w:r>
          </w:p>
        </w:tc>
      </w:tr>
      <w:tr w:rsidR="005A5BCD" w:rsidRPr="005A5BCD" w:rsidTr="005A5BCD">
        <w:tc>
          <w:tcPr>
            <w:tcW w:w="2972"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Eğitim ve İnsan Kaynağı</w:t>
            </w:r>
          </w:p>
        </w:tc>
        <w:tc>
          <w:tcPr>
            <w:tcW w:w="2693"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Merkez faaliyetlerine dahil edilen öğrenci/araştırmacı sayısı</w:t>
            </w:r>
          </w:p>
        </w:tc>
        <w:tc>
          <w:tcPr>
            <w:tcW w:w="1985"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5</w:t>
            </w:r>
          </w:p>
        </w:tc>
      </w:tr>
      <w:tr w:rsidR="005A5BCD" w:rsidRPr="005A5BCD" w:rsidTr="005A5BCD">
        <w:tc>
          <w:tcPr>
            <w:tcW w:w="2972"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SKH Uyumlu Faaliyetler</w:t>
            </w:r>
          </w:p>
        </w:tc>
        <w:tc>
          <w:tcPr>
            <w:tcW w:w="2693"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SKH ile ilişkili faaliyet sayısı</w:t>
            </w:r>
          </w:p>
        </w:tc>
        <w:tc>
          <w:tcPr>
            <w:tcW w:w="1985"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2</w:t>
            </w:r>
          </w:p>
        </w:tc>
      </w:tr>
      <w:tr w:rsidR="005A5BCD" w:rsidRPr="005A5BCD" w:rsidTr="005A5BCD">
        <w:tc>
          <w:tcPr>
            <w:tcW w:w="2972"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 xml:space="preserve">Döner Sermaye </w:t>
            </w:r>
          </w:p>
        </w:tc>
        <w:tc>
          <w:tcPr>
            <w:tcW w:w="2693"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Test/Analiz</w:t>
            </w:r>
          </w:p>
        </w:tc>
        <w:tc>
          <w:tcPr>
            <w:tcW w:w="1985" w:type="dxa"/>
          </w:tcPr>
          <w:p w:rsidR="005A5BCD" w:rsidRPr="005A5BCD" w:rsidRDefault="005A5BCD" w:rsidP="005A5BCD">
            <w:pPr>
              <w:spacing w:after="0" w:line="240" w:lineRule="auto"/>
              <w:rPr>
                <w:rFonts w:asciiTheme="majorHAnsi" w:eastAsia="Times New Roman" w:hAnsiTheme="majorHAnsi" w:cs="Arial"/>
                <w:lang w:val="en-US" w:eastAsia="zh-CN"/>
              </w:rPr>
            </w:pPr>
            <w:r w:rsidRPr="005A5BCD">
              <w:rPr>
                <w:rFonts w:asciiTheme="majorHAnsi" w:eastAsia="Times New Roman" w:hAnsiTheme="majorHAnsi" w:cs="Arial"/>
                <w:lang w:val="en-US" w:eastAsia="zh-CN"/>
              </w:rPr>
              <w:t>1.000.000 €</w:t>
            </w:r>
          </w:p>
        </w:tc>
      </w:tr>
    </w:tbl>
    <w:p w:rsidR="009D1C29" w:rsidRPr="00D25745" w:rsidRDefault="009D1C29" w:rsidP="00395F57">
      <w:pPr>
        <w:spacing w:after="0" w:line="300" w:lineRule="exact"/>
        <w:jc w:val="both"/>
        <w:rPr>
          <w:rFonts w:asciiTheme="majorHAnsi" w:eastAsia="Calibri" w:hAnsiTheme="majorHAnsi" w:cs="Times New Roman"/>
          <w:b/>
          <w:color w:val="365F91" w:themeColor="accent1" w:themeShade="BF"/>
          <w:sz w:val="28"/>
          <w:szCs w:val="28"/>
          <w:lang w:eastAsia="tr-TR"/>
        </w:rPr>
      </w:pPr>
    </w:p>
    <w:p w:rsidR="005001CB" w:rsidRPr="00D25745" w:rsidRDefault="005001CB" w:rsidP="006B3DFE">
      <w:pPr>
        <w:spacing w:after="0" w:line="300" w:lineRule="exact"/>
        <w:rPr>
          <w:rFonts w:asciiTheme="majorHAnsi" w:hAnsiTheme="majorHAnsi"/>
          <w:lang w:eastAsia="ko-KR"/>
        </w:rPr>
      </w:pPr>
    </w:p>
    <w:p w:rsidR="006B3DFE" w:rsidRDefault="006B3DFE" w:rsidP="006B3DFE">
      <w:pPr>
        <w:spacing w:after="0" w:line="300" w:lineRule="exact"/>
        <w:contextualSpacing/>
        <w:rPr>
          <w:rFonts w:asciiTheme="majorHAnsi" w:eastAsia="Calibri" w:hAnsiTheme="majorHAnsi" w:cs="Times New Roman"/>
          <w:b/>
          <w:color w:val="365F91" w:themeColor="accent1" w:themeShade="BF"/>
          <w:sz w:val="28"/>
          <w:szCs w:val="28"/>
          <w:lang w:eastAsia="tr-TR"/>
        </w:rPr>
      </w:pPr>
      <w:r w:rsidRPr="00D25745">
        <w:rPr>
          <w:rFonts w:asciiTheme="majorHAnsi" w:eastAsia="Calibri" w:hAnsiTheme="majorHAnsi" w:cs="Times New Roman"/>
          <w:b/>
          <w:color w:val="365F91" w:themeColor="accent1" w:themeShade="BF"/>
          <w:sz w:val="28"/>
          <w:szCs w:val="28"/>
          <w:lang w:eastAsia="tr-TR"/>
        </w:rPr>
        <w:t>X</w:t>
      </w:r>
      <w:r w:rsidR="005A5BCD">
        <w:rPr>
          <w:rFonts w:asciiTheme="majorHAnsi" w:eastAsia="Calibri" w:hAnsiTheme="majorHAnsi" w:cs="Times New Roman"/>
          <w:b/>
          <w:color w:val="365F91" w:themeColor="accent1" w:themeShade="BF"/>
          <w:sz w:val="28"/>
          <w:szCs w:val="28"/>
          <w:lang w:eastAsia="tr-TR"/>
        </w:rPr>
        <w:t>I</w:t>
      </w:r>
      <w:r w:rsidRPr="00D25745">
        <w:rPr>
          <w:rFonts w:asciiTheme="majorHAnsi" w:eastAsia="Calibri" w:hAnsiTheme="majorHAnsi" w:cs="Times New Roman"/>
          <w:b/>
          <w:color w:val="365F91" w:themeColor="accent1" w:themeShade="BF"/>
          <w:sz w:val="28"/>
          <w:szCs w:val="28"/>
          <w:lang w:eastAsia="tr-TR"/>
        </w:rPr>
        <w:t>-ÖZDEĞERLENDİRME</w:t>
      </w:r>
    </w:p>
    <w:p w:rsidR="005001CB" w:rsidRPr="00D25745" w:rsidRDefault="005001CB" w:rsidP="006B3DFE">
      <w:pPr>
        <w:spacing w:after="0" w:line="300" w:lineRule="exact"/>
        <w:contextualSpacing/>
        <w:rPr>
          <w:rFonts w:asciiTheme="majorHAnsi" w:eastAsia="Calibri" w:hAnsiTheme="majorHAnsi" w:cs="Times New Roman"/>
          <w:b/>
          <w:color w:val="365F91" w:themeColor="accent1" w:themeShade="BF"/>
          <w:sz w:val="28"/>
          <w:szCs w:val="28"/>
          <w:lang w:eastAsia="tr-TR"/>
        </w:rPr>
      </w:pPr>
    </w:p>
    <w:p w:rsidR="005A5BCD" w:rsidRPr="005A5BCD" w:rsidRDefault="005A5BCD" w:rsidP="005A5BCD">
      <w:pPr>
        <w:spacing w:before="60" w:after="240" w:line="360" w:lineRule="auto"/>
        <w:jc w:val="both"/>
        <w:rPr>
          <w:rFonts w:asciiTheme="majorHAnsi" w:eastAsia="Times New Roman" w:hAnsiTheme="majorHAnsi" w:cs="Arial"/>
          <w:bCs/>
          <w:lang w:eastAsia="zh-CN"/>
        </w:rPr>
      </w:pPr>
      <w:bookmarkStart w:id="0" w:name="_GoBack"/>
      <w:r w:rsidRPr="005A5BCD">
        <w:rPr>
          <w:rFonts w:asciiTheme="majorHAnsi" w:eastAsia="Times New Roman" w:hAnsiTheme="majorHAnsi" w:cs="Arial"/>
          <w:bCs/>
          <w:lang w:eastAsia="zh-CN"/>
        </w:rPr>
        <w:t xml:space="preserve">Arkeometri UYGAR Araştırma Merkezi’nin rapor yılına ilişkin özdeğerlendirmesi, Merkezin stratejik hedefleri, yürütülen faaliyetler ve elde edilen çıktılar çerçevesinde gerçekleştirilmiştir. Merkez için yol gösterici temel ilkeler; disiplinler arası arkeometrik araştırmaların </w:t>
      </w:r>
      <w:r w:rsidRPr="005A5BCD">
        <w:rPr>
          <w:rFonts w:asciiTheme="majorHAnsi" w:eastAsia="Times New Roman" w:hAnsiTheme="majorHAnsi" w:cs="Arial"/>
          <w:bCs/>
          <w:lang w:eastAsia="zh-CN"/>
        </w:rPr>
        <w:lastRenderedPageBreak/>
        <w:t>güçlendirilmesi, uluslararası nitelikte bilimsel çıktı üretimi, biyomoleküler ve mikrobiyal arkeometri alanlarında dönüşüm, toplumsal etki ve sürdürülebilirlik olarak belirlenmiştir.</w:t>
      </w:r>
    </w:p>
    <w:p w:rsidR="005A5BCD" w:rsidRPr="005A5BCD" w:rsidRDefault="005A5BCD" w:rsidP="005A5BCD">
      <w:pPr>
        <w:spacing w:before="60" w:after="240" w:line="360" w:lineRule="auto"/>
        <w:jc w:val="both"/>
        <w:rPr>
          <w:rFonts w:asciiTheme="majorHAnsi" w:eastAsia="Times New Roman" w:hAnsiTheme="majorHAnsi" w:cs="Arial"/>
          <w:bCs/>
          <w:lang w:eastAsia="zh-CN"/>
        </w:rPr>
      </w:pPr>
      <w:r w:rsidRPr="005A5BCD">
        <w:rPr>
          <w:rFonts w:asciiTheme="majorHAnsi" w:eastAsia="Times New Roman" w:hAnsiTheme="majorHAnsi" w:cs="Arial"/>
          <w:bCs/>
          <w:lang w:eastAsia="zh-CN"/>
        </w:rPr>
        <w:t>Mevcut durumdan bir adım ileriye geçmek amacıyla rapor döneminde Merkez, klasik arkeometrik yaklaşımların ötesine geçerek biyomoleküler arkeometri, mikrobiyal kalıntıların analizi ve antik biyolojik adaptasyonların güncel çevresel sorunlarla ilişkilendirilmesi yönünde bilimsel kapasitesini genişletmiştir. Bu kapsamda yeni araştırma projeleri geliştirilmiş, mevcut projelerin disiplinler arası niteliği artırılmış ve ulusal–uluslararası iş birlikleri güçlendirilmiştir.</w:t>
      </w:r>
    </w:p>
    <w:p w:rsidR="005A5BCD" w:rsidRPr="005A5BCD" w:rsidRDefault="005A5BCD" w:rsidP="005A5BCD">
      <w:pPr>
        <w:spacing w:before="60" w:after="240" w:line="360" w:lineRule="auto"/>
        <w:jc w:val="both"/>
        <w:rPr>
          <w:rFonts w:asciiTheme="majorHAnsi" w:eastAsia="Times New Roman" w:hAnsiTheme="majorHAnsi" w:cs="Arial"/>
          <w:bCs/>
          <w:lang w:eastAsia="zh-CN"/>
        </w:rPr>
      </w:pPr>
      <w:r w:rsidRPr="005A5BCD">
        <w:rPr>
          <w:rFonts w:asciiTheme="majorHAnsi" w:eastAsia="Times New Roman" w:hAnsiTheme="majorHAnsi" w:cs="Arial"/>
          <w:bCs/>
          <w:lang w:eastAsia="zh-CN"/>
        </w:rPr>
        <w:t xml:space="preserve">Belirlenen hedeflere ulaşmak için Merkez; yüksek etki değerine sahip dergilerde yayın üretimini öncelemiş, uluslararası bilimsel toplantılara aktif katılım sağlamış ve arkeolojik kazılar ile müzelerle yürütülen analitik iş birliklerini sürdürmüştür. Rapor yılı içerisinde uluslararası hakemli dergilerde yayımlanan yayın sayısı, uluslararası konferans ve </w:t>
      </w:r>
      <w:proofErr w:type="gramStart"/>
      <w:r w:rsidRPr="005A5BCD">
        <w:rPr>
          <w:rFonts w:asciiTheme="majorHAnsi" w:eastAsia="Times New Roman" w:hAnsiTheme="majorHAnsi" w:cs="Arial"/>
          <w:bCs/>
          <w:lang w:eastAsia="zh-CN"/>
        </w:rPr>
        <w:t>sempozyum</w:t>
      </w:r>
      <w:proofErr w:type="gramEnd"/>
      <w:r w:rsidRPr="005A5BCD">
        <w:rPr>
          <w:rFonts w:asciiTheme="majorHAnsi" w:eastAsia="Times New Roman" w:hAnsiTheme="majorHAnsi" w:cs="Arial"/>
          <w:bCs/>
          <w:lang w:eastAsia="zh-CN"/>
        </w:rPr>
        <w:t xml:space="preserve"> katılımları ve aktif proje sayısı açısından hedeflerin büyük ölçüde gerçekleştirildiği görülmektedir. Özellikle Science ve The Holocene gibi yüksek etki faktörlü dergilerde yayımlanan çalışmalar, Merkezin uluslararası görünürlüğünü ve bilimsel etkisini belirgin biçimde artırmıştır.</w:t>
      </w:r>
    </w:p>
    <w:p w:rsidR="005A5BCD" w:rsidRPr="005A5BCD" w:rsidRDefault="005A5BCD" w:rsidP="005A5BCD">
      <w:pPr>
        <w:spacing w:before="60" w:after="240" w:line="360" w:lineRule="auto"/>
        <w:jc w:val="both"/>
        <w:rPr>
          <w:rFonts w:asciiTheme="majorHAnsi" w:eastAsia="Times New Roman" w:hAnsiTheme="majorHAnsi" w:cs="Arial"/>
          <w:bCs/>
          <w:lang w:eastAsia="zh-CN"/>
        </w:rPr>
      </w:pPr>
      <w:r w:rsidRPr="005A5BCD">
        <w:rPr>
          <w:rFonts w:asciiTheme="majorHAnsi" w:eastAsia="Times New Roman" w:hAnsiTheme="majorHAnsi" w:cs="Arial"/>
          <w:bCs/>
          <w:lang w:eastAsia="zh-CN"/>
        </w:rPr>
        <w:t>Bazı hedeflerde tam gerçekleşmenin sınırlı kalmasının temel nedenleri; laboratuvar altyapısının kademeli geliştirilmesi, örnek temin süreçlerinin zamana yayılması ve disiplinler arası koordinasyon gereksinimleri olmuştur. Bu durum, faaliyetlerin niteliğini olumsuz etkilememiş; aksine takip eden dönemler için daha gerçekçi ve sürdürülebilir planlamaların yapılmasına olanak sağlamıştır.</w:t>
      </w:r>
    </w:p>
    <w:p w:rsidR="005A5BCD" w:rsidRPr="005A5BCD" w:rsidRDefault="005A5BCD" w:rsidP="005A5BCD">
      <w:pPr>
        <w:spacing w:before="60" w:after="240" w:line="360" w:lineRule="auto"/>
        <w:jc w:val="both"/>
        <w:rPr>
          <w:rFonts w:asciiTheme="majorHAnsi" w:eastAsia="Times New Roman" w:hAnsiTheme="majorHAnsi" w:cs="Arial"/>
          <w:bCs/>
          <w:lang w:eastAsia="zh-CN"/>
        </w:rPr>
      </w:pPr>
      <w:r w:rsidRPr="005A5BCD">
        <w:rPr>
          <w:rFonts w:asciiTheme="majorHAnsi" w:eastAsia="Times New Roman" w:hAnsiTheme="majorHAnsi" w:cs="Arial"/>
          <w:bCs/>
          <w:lang w:eastAsia="zh-CN"/>
        </w:rPr>
        <w:t>Rapor döneminde hedeflerin üzerinde gerçekleşen faaliyetler de olmuştur. Uluslararası yayın kalitesi ve sayısı ile uluslararası iş birliklerine dayalı bilimsel etkinliklere katılım, başlangıçta öngörülen seviyenin üzerine çıkmıştır. Bu başarıda, disiplinler arası araştırma yaklaşımının benimsenmesi, proje temelli çalışma kültürü ve önceki yıllarda oluşturulan bilimsel altyapının sürekliliği belirleyici olmuştur.</w:t>
      </w:r>
    </w:p>
    <w:p w:rsidR="005A5BCD" w:rsidRPr="005A5BCD" w:rsidRDefault="005A5BCD" w:rsidP="005A5BCD">
      <w:pPr>
        <w:spacing w:before="60" w:after="240" w:line="360" w:lineRule="auto"/>
        <w:jc w:val="both"/>
        <w:rPr>
          <w:rFonts w:asciiTheme="majorHAnsi" w:eastAsia="Times New Roman" w:hAnsiTheme="majorHAnsi" w:cs="Arial"/>
          <w:bCs/>
          <w:lang w:eastAsia="zh-CN"/>
        </w:rPr>
      </w:pPr>
      <w:r w:rsidRPr="005A5BCD">
        <w:rPr>
          <w:rFonts w:asciiTheme="majorHAnsi" w:eastAsia="Times New Roman" w:hAnsiTheme="majorHAnsi" w:cs="Arial"/>
          <w:bCs/>
          <w:lang w:eastAsia="zh-CN"/>
        </w:rPr>
        <w:t>Merkez, rapor yılı içerisinde diğer araştırma merkezleri, üniversiteler, kazı başkanlıkları ve uluslararası akademik ağlarla iş birliği yapmıştır. Bu iş birlikleri hem araştırma kalitesini artırmış hem de Merkezin bilimsel çıktılarını farklı disiplinlerle bütünleştirmesine olanak tanımıştır.</w:t>
      </w:r>
    </w:p>
    <w:p w:rsidR="005A5BCD" w:rsidRPr="005A5BCD" w:rsidRDefault="005A5BCD" w:rsidP="005A5BCD">
      <w:pPr>
        <w:spacing w:before="60" w:after="240" w:line="360" w:lineRule="auto"/>
        <w:jc w:val="both"/>
        <w:rPr>
          <w:rFonts w:asciiTheme="majorHAnsi" w:eastAsia="Times New Roman" w:hAnsiTheme="majorHAnsi" w:cs="Arial"/>
          <w:b/>
          <w:lang w:eastAsia="zh-CN"/>
        </w:rPr>
      </w:pPr>
      <w:r w:rsidRPr="005A5BCD">
        <w:rPr>
          <w:rFonts w:asciiTheme="majorHAnsi" w:eastAsia="Times New Roman" w:hAnsiTheme="majorHAnsi" w:cs="Arial"/>
          <w:bCs/>
          <w:lang w:eastAsia="zh-CN"/>
        </w:rPr>
        <w:t xml:space="preserve">Gelecek döneme yönelik olarak Merkezin temel hedefleri; biyomoleküler ve mikrobiyal arkeometri alanında öncü konumunu pekiştirmek, uluslararası fon destekli projelerin sayısını artırmak, yüksek etki faktörlü yayın üretimini sürdürülebilir hâle getirmek ve antik biyolojik adaptasyon bilgisini güncel çevresel ve toplumsal sorunlara yönelik uygulamalı araştırmalara </w:t>
      </w:r>
      <w:r w:rsidRPr="005A5BCD">
        <w:rPr>
          <w:rFonts w:asciiTheme="majorHAnsi" w:eastAsia="Times New Roman" w:hAnsiTheme="majorHAnsi" w:cs="Arial"/>
          <w:bCs/>
          <w:lang w:eastAsia="zh-CN"/>
        </w:rPr>
        <w:lastRenderedPageBreak/>
        <w:t xml:space="preserve">dönüştürmek olarak belirlenmiştir. Bu çerçevede Merkez, bilimsel üretim kapasitesini artırmaya ve stratejik hedefleriyle uyumlu biçimde gelişimini sürdürmeye devam edecektir. </w:t>
      </w:r>
    </w:p>
    <w:bookmarkEnd w:id="0"/>
    <w:p w:rsidR="00E84285" w:rsidRPr="005A5BCD" w:rsidRDefault="00E84285" w:rsidP="005A5BCD">
      <w:pPr>
        <w:spacing w:before="60" w:after="0" w:line="360" w:lineRule="auto"/>
        <w:jc w:val="both"/>
        <w:rPr>
          <w:rFonts w:asciiTheme="majorHAnsi" w:hAnsiTheme="majorHAnsi"/>
          <w:lang w:eastAsia="ko-KR"/>
        </w:rPr>
      </w:pPr>
    </w:p>
    <w:sectPr w:rsidR="00E84285" w:rsidRPr="005A5BCD"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BF6" w:rsidRDefault="00060BF6" w:rsidP="00D9381D">
      <w:pPr>
        <w:spacing w:after="0" w:line="240" w:lineRule="auto"/>
      </w:pPr>
      <w:r>
        <w:separator/>
      </w:r>
    </w:p>
  </w:endnote>
  <w:endnote w:type="continuationSeparator" w:id="0">
    <w:p w:rsidR="00060BF6" w:rsidRDefault="00060BF6"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BF6" w:rsidRDefault="00060BF6" w:rsidP="00D9381D">
      <w:pPr>
        <w:spacing w:after="0" w:line="240" w:lineRule="auto"/>
      </w:pPr>
      <w:r>
        <w:separator/>
      </w:r>
    </w:p>
  </w:footnote>
  <w:footnote w:type="continuationSeparator" w:id="0">
    <w:p w:rsidR="00060BF6" w:rsidRDefault="00060BF6"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3B47F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Arkeometri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AE3061" w:rsidRDefault="00AE3061" w:rsidP="00A17E8A">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AA46F8">
                <w:rPr>
                  <w:b/>
                  <w:color w:val="808080" w:themeColor="background1" w:themeShade="80"/>
                  <w:sz w:val="24"/>
                  <w:szCs w:val="24"/>
                </w:rPr>
                <w:t>2</w:t>
              </w:r>
              <w:r w:rsidR="00524973">
                <w:rPr>
                  <w:b/>
                  <w:color w:val="808080" w:themeColor="background1" w:themeShade="80"/>
                  <w:sz w:val="24"/>
                  <w:szCs w:val="24"/>
                </w:rPr>
                <w:t>5</w:t>
              </w:r>
            </w:p>
          </w:tc>
        </w:sdtContent>
      </w:sdt>
    </w:tr>
  </w:tbl>
  <w:p w:rsidR="00AE3061" w:rsidRDefault="00AE306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0106195"/>
    <w:multiLevelType w:val="hybridMultilevel"/>
    <w:tmpl w:val="19AE7B30"/>
    <w:lvl w:ilvl="0" w:tplc="01184D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B144AE"/>
    <w:multiLevelType w:val="hybridMultilevel"/>
    <w:tmpl w:val="A7CCDF68"/>
    <w:lvl w:ilvl="0" w:tplc="6C461DE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34236C99"/>
    <w:multiLevelType w:val="hybridMultilevel"/>
    <w:tmpl w:val="EFDC7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15:restartNumberingAfterBreak="0">
    <w:nsid w:val="391769E4"/>
    <w:multiLevelType w:val="hybridMultilevel"/>
    <w:tmpl w:val="2D3A8C56"/>
    <w:lvl w:ilvl="0" w:tplc="3CAE489E">
      <w:start w:val="6"/>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3"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5"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6"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8"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9"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1"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2"/>
  </w:num>
  <w:num w:numId="3">
    <w:abstractNumId w:val="5"/>
  </w:num>
  <w:num w:numId="4">
    <w:abstractNumId w:val="4"/>
  </w:num>
  <w:num w:numId="5">
    <w:abstractNumId w:val="21"/>
  </w:num>
  <w:num w:numId="6">
    <w:abstractNumId w:val="16"/>
  </w:num>
  <w:num w:numId="7">
    <w:abstractNumId w:val="13"/>
  </w:num>
  <w:num w:numId="8">
    <w:abstractNumId w:val="6"/>
  </w:num>
  <w:num w:numId="9">
    <w:abstractNumId w:val="20"/>
  </w:num>
  <w:num w:numId="10">
    <w:abstractNumId w:val="0"/>
  </w:num>
  <w:num w:numId="11">
    <w:abstractNumId w:val="17"/>
  </w:num>
  <w:num w:numId="12">
    <w:abstractNumId w:val="14"/>
  </w:num>
  <w:num w:numId="13">
    <w:abstractNumId w:val="12"/>
  </w:num>
  <w:num w:numId="14">
    <w:abstractNumId w:val="15"/>
  </w:num>
  <w:num w:numId="15">
    <w:abstractNumId w:val="10"/>
  </w:num>
  <w:num w:numId="16">
    <w:abstractNumId w:val="2"/>
  </w:num>
  <w:num w:numId="17">
    <w:abstractNumId w:val="7"/>
  </w:num>
  <w:num w:numId="18">
    <w:abstractNumId w:val="8"/>
  </w:num>
  <w:num w:numId="19">
    <w:abstractNumId w:val="18"/>
  </w:num>
  <w:num w:numId="20">
    <w:abstractNumId w:val="1"/>
  </w:num>
  <w:num w:numId="21">
    <w:abstractNumId w:val="11"/>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7394"/>
    <w:rsid w:val="00040501"/>
    <w:rsid w:val="000407CA"/>
    <w:rsid w:val="0004109B"/>
    <w:rsid w:val="00042CD7"/>
    <w:rsid w:val="00045483"/>
    <w:rsid w:val="000459E0"/>
    <w:rsid w:val="000472C8"/>
    <w:rsid w:val="00050B4B"/>
    <w:rsid w:val="00052E3E"/>
    <w:rsid w:val="00054259"/>
    <w:rsid w:val="00060BF6"/>
    <w:rsid w:val="00064866"/>
    <w:rsid w:val="000663F2"/>
    <w:rsid w:val="00071818"/>
    <w:rsid w:val="00074A37"/>
    <w:rsid w:val="00076588"/>
    <w:rsid w:val="000828D7"/>
    <w:rsid w:val="00082FA4"/>
    <w:rsid w:val="00083C64"/>
    <w:rsid w:val="00085BB0"/>
    <w:rsid w:val="00085EFA"/>
    <w:rsid w:val="00087D92"/>
    <w:rsid w:val="00092F3C"/>
    <w:rsid w:val="00095ED3"/>
    <w:rsid w:val="000A0AC9"/>
    <w:rsid w:val="000A1525"/>
    <w:rsid w:val="000A3C68"/>
    <w:rsid w:val="000A6E7F"/>
    <w:rsid w:val="000A79A0"/>
    <w:rsid w:val="000B026B"/>
    <w:rsid w:val="000B059D"/>
    <w:rsid w:val="000B0816"/>
    <w:rsid w:val="000B0E71"/>
    <w:rsid w:val="000B26AF"/>
    <w:rsid w:val="000B30F8"/>
    <w:rsid w:val="000B60C2"/>
    <w:rsid w:val="000B65FC"/>
    <w:rsid w:val="000B66CC"/>
    <w:rsid w:val="000B747E"/>
    <w:rsid w:val="000C41AC"/>
    <w:rsid w:val="000C4C4D"/>
    <w:rsid w:val="000C72A1"/>
    <w:rsid w:val="000D029F"/>
    <w:rsid w:val="000D122B"/>
    <w:rsid w:val="000D2332"/>
    <w:rsid w:val="000D3B2C"/>
    <w:rsid w:val="000D4E94"/>
    <w:rsid w:val="000E1839"/>
    <w:rsid w:val="000E3C18"/>
    <w:rsid w:val="000E4515"/>
    <w:rsid w:val="000E551A"/>
    <w:rsid w:val="000E60FA"/>
    <w:rsid w:val="000F0096"/>
    <w:rsid w:val="000F0592"/>
    <w:rsid w:val="0010008E"/>
    <w:rsid w:val="00103979"/>
    <w:rsid w:val="00103A39"/>
    <w:rsid w:val="00106F2C"/>
    <w:rsid w:val="00121071"/>
    <w:rsid w:val="001221D1"/>
    <w:rsid w:val="00122FFC"/>
    <w:rsid w:val="00124E27"/>
    <w:rsid w:val="00125B29"/>
    <w:rsid w:val="001262F6"/>
    <w:rsid w:val="00126DB4"/>
    <w:rsid w:val="0013058D"/>
    <w:rsid w:val="00133E65"/>
    <w:rsid w:val="00140178"/>
    <w:rsid w:val="001409CC"/>
    <w:rsid w:val="00143EA3"/>
    <w:rsid w:val="00145601"/>
    <w:rsid w:val="001548FD"/>
    <w:rsid w:val="00154952"/>
    <w:rsid w:val="00154DD8"/>
    <w:rsid w:val="00155685"/>
    <w:rsid w:val="001573D9"/>
    <w:rsid w:val="0016014C"/>
    <w:rsid w:val="0016057D"/>
    <w:rsid w:val="001659C1"/>
    <w:rsid w:val="00167E33"/>
    <w:rsid w:val="00170172"/>
    <w:rsid w:val="00170C59"/>
    <w:rsid w:val="00171240"/>
    <w:rsid w:val="00171500"/>
    <w:rsid w:val="00172F13"/>
    <w:rsid w:val="00173C63"/>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177"/>
    <w:rsid w:val="001D5ACE"/>
    <w:rsid w:val="001E1D3A"/>
    <w:rsid w:val="001E2294"/>
    <w:rsid w:val="001E426F"/>
    <w:rsid w:val="001E5E22"/>
    <w:rsid w:val="001F1502"/>
    <w:rsid w:val="001F2460"/>
    <w:rsid w:val="001F5C3E"/>
    <w:rsid w:val="001F5D40"/>
    <w:rsid w:val="001F5EDE"/>
    <w:rsid w:val="001F611E"/>
    <w:rsid w:val="001F6240"/>
    <w:rsid w:val="001F76A9"/>
    <w:rsid w:val="00202020"/>
    <w:rsid w:val="00203B22"/>
    <w:rsid w:val="0020443C"/>
    <w:rsid w:val="00204DFD"/>
    <w:rsid w:val="002074ED"/>
    <w:rsid w:val="00210035"/>
    <w:rsid w:val="00212934"/>
    <w:rsid w:val="00212D5A"/>
    <w:rsid w:val="00214BA5"/>
    <w:rsid w:val="0021572A"/>
    <w:rsid w:val="00216612"/>
    <w:rsid w:val="002170F4"/>
    <w:rsid w:val="00217925"/>
    <w:rsid w:val="00220BAD"/>
    <w:rsid w:val="002219EC"/>
    <w:rsid w:val="002233C3"/>
    <w:rsid w:val="0022708F"/>
    <w:rsid w:val="00231FDC"/>
    <w:rsid w:val="0023337A"/>
    <w:rsid w:val="00235FA1"/>
    <w:rsid w:val="0024069D"/>
    <w:rsid w:val="002407DB"/>
    <w:rsid w:val="002430E9"/>
    <w:rsid w:val="00246E71"/>
    <w:rsid w:val="002471B2"/>
    <w:rsid w:val="00256B00"/>
    <w:rsid w:val="002631D1"/>
    <w:rsid w:val="00276123"/>
    <w:rsid w:val="002822B5"/>
    <w:rsid w:val="002823B3"/>
    <w:rsid w:val="00282407"/>
    <w:rsid w:val="00283DC8"/>
    <w:rsid w:val="00285883"/>
    <w:rsid w:val="00287D31"/>
    <w:rsid w:val="0029239A"/>
    <w:rsid w:val="0029310B"/>
    <w:rsid w:val="002940B2"/>
    <w:rsid w:val="002A02BD"/>
    <w:rsid w:val="002A0F81"/>
    <w:rsid w:val="002A19BE"/>
    <w:rsid w:val="002A6AD6"/>
    <w:rsid w:val="002B0077"/>
    <w:rsid w:val="002B0102"/>
    <w:rsid w:val="002B17EF"/>
    <w:rsid w:val="002B1A5A"/>
    <w:rsid w:val="002B30B7"/>
    <w:rsid w:val="002B5AA5"/>
    <w:rsid w:val="002B7276"/>
    <w:rsid w:val="002C0C4F"/>
    <w:rsid w:val="002C3D3B"/>
    <w:rsid w:val="002C3DB7"/>
    <w:rsid w:val="002C3E05"/>
    <w:rsid w:val="002C51C0"/>
    <w:rsid w:val="002C5ABC"/>
    <w:rsid w:val="002C6AB0"/>
    <w:rsid w:val="002C7307"/>
    <w:rsid w:val="002C791C"/>
    <w:rsid w:val="002D3212"/>
    <w:rsid w:val="002D5CCD"/>
    <w:rsid w:val="002D6349"/>
    <w:rsid w:val="002E006E"/>
    <w:rsid w:val="002E41DC"/>
    <w:rsid w:val="002E45F5"/>
    <w:rsid w:val="002F02E1"/>
    <w:rsid w:val="002F2D96"/>
    <w:rsid w:val="002F32EF"/>
    <w:rsid w:val="002F4AE7"/>
    <w:rsid w:val="002F5625"/>
    <w:rsid w:val="002F77DE"/>
    <w:rsid w:val="003025F9"/>
    <w:rsid w:val="003038EA"/>
    <w:rsid w:val="00303CC9"/>
    <w:rsid w:val="003049CC"/>
    <w:rsid w:val="0030701A"/>
    <w:rsid w:val="00317CEC"/>
    <w:rsid w:val="00320188"/>
    <w:rsid w:val="003206D8"/>
    <w:rsid w:val="00322DED"/>
    <w:rsid w:val="00323F84"/>
    <w:rsid w:val="003254AC"/>
    <w:rsid w:val="00325B59"/>
    <w:rsid w:val="00325B93"/>
    <w:rsid w:val="00325BAD"/>
    <w:rsid w:val="00326B29"/>
    <w:rsid w:val="0033213F"/>
    <w:rsid w:val="003334C7"/>
    <w:rsid w:val="00334753"/>
    <w:rsid w:val="00334BB8"/>
    <w:rsid w:val="00340E6C"/>
    <w:rsid w:val="00344193"/>
    <w:rsid w:val="00346684"/>
    <w:rsid w:val="0034769A"/>
    <w:rsid w:val="00350705"/>
    <w:rsid w:val="00350FDA"/>
    <w:rsid w:val="003523DA"/>
    <w:rsid w:val="0035275B"/>
    <w:rsid w:val="003542FB"/>
    <w:rsid w:val="0035699D"/>
    <w:rsid w:val="00356E84"/>
    <w:rsid w:val="00356EF0"/>
    <w:rsid w:val="00357184"/>
    <w:rsid w:val="003606B1"/>
    <w:rsid w:val="00360FC9"/>
    <w:rsid w:val="00363095"/>
    <w:rsid w:val="00363391"/>
    <w:rsid w:val="0036517C"/>
    <w:rsid w:val="00366A87"/>
    <w:rsid w:val="00374DCD"/>
    <w:rsid w:val="00376E85"/>
    <w:rsid w:val="00380136"/>
    <w:rsid w:val="00383CFC"/>
    <w:rsid w:val="00385B94"/>
    <w:rsid w:val="0038602B"/>
    <w:rsid w:val="00386C7C"/>
    <w:rsid w:val="00387378"/>
    <w:rsid w:val="003904A0"/>
    <w:rsid w:val="0039102F"/>
    <w:rsid w:val="0039136C"/>
    <w:rsid w:val="00391A1C"/>
    <w:rsid w:val="00394B6C"/>
    <w:rsid w:val="00395F57"/>
    <w:rsid w:val="00396F6A"/>
    <w:rsid w:val="003973AF"/>
    <w:rsid w:val="003978CB"/>
    <w:rsid w:val="003A33C4"/>
    <w:rsid w:val="003A36D3"/>
    <w:rsid w:val="003A636B"/>
    <w:rsid w:val="003B27BE"/>
    <w:rsid w:val="003B3E46"/>
    <w:rsid w:val="003B435F"/>
    <w:rsid w:val="003B47F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56AE"/>
    <w:rsid w:val="00417465"/>
    <w:rsid w:val="00417F44"/>
    <w:rsid w:val="00421910"/>
    <w:rsid w:val="00421A35"/>
    <w:rsid w:val="00424AF9"/>
    <w:rsid w:val="00426B3D"/>
    <w:rsid w:val="004278F4"/>
    <w:rsid w:val="00427B79"/>
    <w:rsid w:val="00430023"/>
    <w:rsid w:val="0043299F"/>
    <w:rsid w:val="004337C3"/>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4DB6"/>
    <w:rsid w:val="00480F5E"/>
    <w:rsid w:val="004811EB"/>
    <w:rsid w:val="00482A0E"/>
    <w:rsid w:val="00483B58"/>
    <w:rsid w:val="00490AF5"/>
    <w:rsid w:val="00496543"/>
    <w:rsid w:val="004A10FF"/>
    <w:rsid w:val="004A1BC4"/>
    <w:rsid w:val="004A5711"/>
    <w:rsid w:val="004A7650"/>
    <w:rsid w:val="004B011A"/>
    <w:rsid w:val="004B1722"/>
    <w:rsid w:val="004B4BFD"/>
    <w:rsid w:val="004C21B1"/>
    <w:rsid w:val="004D0C9D"/>
    <w:rsid w:val="004D311C"/>
    <w:rsid w:val="004D536E"/>
    <w:rsid w:val="004D7CC9"/>
    <w:rsid w:val="004E22D3"/>
    <w:rsid w:val="004E4D19"/>
    <w:rsid w:val="004E5110"/>
    <w:rsid w:val="004E51AA"/>
    <w:rsid w:val="004E678D"/>
    <w:rsid w:val="004E7E6E"/>
    <w:rsid w:val="004F0FF2"/>
    <w:rsid w:val="004F242E"/>
    <w:rsid w:val="004F38FF"/>
    <w:rsid w:val="004F58DE"/>
    <w:rsid w:val="004F5E83"/>
    <w:rsid w:val="005001CB"/>
    <w:rsid w:val="00501356"/>
    <w:rsid w:val="00501BED"/>
    <w:rsid w:val="005022F3"/>
    <w:rsid w:val="00505E0E"/>
    <w:rsid w:val="00506350"/>
    <w:rsid w:val="005067D2"/>
    <w:rsid w:val="00506BCE"/>
    <w:rsid w:val="0051112C"/>
    <w:rsid w:val="00511E29"/>
    <w:rsid w:val="00516818"/>
    <w:rsid w:val="00517001"/>
    <w:rsid w:val="00520D93"/>
    <w:rsid w:val="0052177C"/>
    <w:rsid w:val="00521C9F"/>
    <w:rsid w:val="00521E49"/>
    <w:rsid w:val="00522364"/>
    <w:rsid w:val="00523845"/>
    <w:rsid w:val="00524973"/>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278"/>
    <w:rsid w:val="005559C4"/>
    <w:rsid w:val="00556994"/>
    <w:rsid w:val="00561B73"/>
    <w:rsid w:val="005631C0"/>
    <w:rsid w:val="00565AC6"/>
    <w:rsid w:val="00566276"/>
    <w:rsid w:val="00570493"/>
    <w:rsid w:val="0057119A"/>
    <w:rsid w:val="005725BC"/>
    <w:rsid w:val="0057380E"/>
    <w:rsid w:val="00574475"/>
    <w:rsid w:val="00580285"/>
    <w:rsid w:val="00581A31"/>
    <w:rsid w:val="005847F1"/>
    <w:rsid w:val="00585DD7"/>
    <w:rsid w:val="005878EE"/>
    <w:rsid w:val="00587D31"/>
    <w:rsid w:val="00590A9E"/>
    <w:rsid w:val="00592236"/>
    <w:rsid w:val="005952A7"/>
    <w:rsid w:val="005A2E69"/>
    <w:rsid w:val="005A2F3A"/>
    <w:rsid w:val="005A5A10"/>
    <w:rsid w:val="005A5BCD"/>
    <w:rsid w:val="005A7DAF"/>
    <w:rsid w:val="005B3708"/>
    <w:rsid w:val="005B5091"/>
    <w:rsid w:val="005B55C1"/>
    <w:rsid w:val="005B5A92"/>
    <w:rsid w:val="005B6F1E"/>
    <w:rsid w:val="005C0DC1"/>
    <w:rsid w:val="005C0F64"/>
    <w:rsid w:val="005C2C11"/>
    <w:rsid w:val="005C449A"/>
    <w:rsid w:val="005C6064"/>
    <w:rsid w:val="005D3BD8"/>
    <w:rsid w:val="005D46FD"/>
    <w:rsid w:val="005D5625"/>
    <w:rsid w:val="005D63EE"/>
    <w:rsid w:val="005D7C1F"/>
    <w:rsid w:val="005E3EAD"/>
    <w:rsid w:val="005E6A2E"/>
    <w:rsid w:val="005E7F9C"/>
    <w:rsid w:val="005F05A2"/>
    <w:rsid w:val="005F6699"/>
    <w:rsid w:val="006021BF"/>
    <w:rsid w:val="00604006"/>
    <w:rsid w:val="0060482C"/>
    <w:rsid w:val="006065B6"/>
    <w:rsid w:val="0061099A"/>
    <w:rsid w:val="00611DE3"/>
    <w:rsid w:val="006142D7"/>
    <w:rsid w:val="0061666F"/>
    <w:rsid w:val="006210D4"/>
    <w:rsid w:val="00621D23"/>
    <w:rsid w:val="0062255D"/>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0B0B"/>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3DFE"/>
    <w:rsid w:val="006B6E12"/>
    <w:rsid w:val="006B7C7D"/>
    <w:rsid w:val="006C0AF4"/>
    <w:rsid w:val="006C0D74"/>
    <w:rsid w:val="006C4A87"/>
    <w:rsid w:val="006C4DFF"/>
    <w:rsid w:val="006C6CAF"/>
    <w:rsid w:val="006D1666"/>
    <w:rsid w:val="006D2720"/>
    <w:rsid w:val="006D2C5B"/>
    <w:rsid w:val="006D3686"/>
    <w:rsid w:val="006D37BE"/>
    <w:rsid w:val="006D39A4"/>
    <w:rsid w:val="006D470F"/>
    <w:rsid w:val="006D596A"/>
    <w:rsid w:val="006D5EA5"/>
    <w:rsid w:val="006E0678"/>
    <w:rsid w:val="006E141C"/>
    <w:rsid w:val="006E15D9"/>
    <w:rsid w:val="006E2019"/>
    <w:rsid w:val="006E2A52"/>
    <w:rsid w:val="006E4946"/>
    <w:rsid w:val="006E5DA3"/>
    <w:rsid w:val="006F63CD"/>
    <w:rsid w:val="006F6C21"/>
    <w:rsid w:val="006F789E"/>
    <w:rsid w:val="0070282C"/>
    <w:rsid w:val="00702C86"/>
    <w:rsid w:val="007069E9"/>
    <w:rsid w:val="007073B1"/>
    <w:rsid w:val="00707A39"/>
    <w:rsid w:val="00707BCC"/>
    <w:rsid w:val="00713D89"/>
    <w:rsid w:val="00716235"/>
    <w:rsid w:val="007163FF"/>
    <w:rsid w:val="00717DB8"/>
    <w:rsid w:val="007214C5"/>
    <w:rsid w:val="0072388A"/>
    <w:rsid w:val="00724DC4"/>
    <w:rsid w:val="00730072"/>
    <w:rsid w:val="0073038B"/>
    <w:rsid w:val="00731EC6"/>
    <w:rsid w:val="00732169"/>
    <w:rsid w:val="00732918"/>
    <w:rsid w:val="00734780"/>
    <w:rsid w:val="00735067"/>
    <w:rsid w:val="00735D27"/>
    <w:rsid w:val="007365A0"/>
    <w:rsid w:val="00737D06"/>
    <w:rsid w:val="0074055F"/>
    <w:rsid w:val="007410A6"/>
    <w:rsid w:val="0075140B"/>
    <w:rsid w:val="00753431"/>
    <w:rsid w:val="007545DF"/>
    <w:rsid w:val="007552EF"/>
    <w:rsid w:val="0075656F"/>
    <w:rsid w:val="0075799A"/>
    <w:rsid w:val="0076005F"/>
    <w:rsid w:val="00762119"/>
    <w:rsid w:val="007623CA"/>
    <w:rsid w:val="00764475"/>
    <w:rsid w:val="007646E5"/>
    <w:rsid w:val="00765AB3"/>
    <w:rsid w:val="00774E8C"/>
    <w:rsid w:val="007759A2"/>
    <w:rsid w:val="007766A0"/>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6FC"/>
    <w:rsid w:val="007C7A5B"/>
    <w:rsid w:val="007D1D35"/>
    <w:rsid w:val="007D2359"/>
    <w:rsid w:val="007D3647"/>
    <w:rsid w:val="007D40CA"/>
    <w:rsid w:val="007D5A2F"/>
    <w:rsid w:val="007D63CA"/>
    <w:rsid w:val="007D6DE5"/>
    <w:rsid w:val="007E27DE"/>
    <w:rsid w:val="007E3439"/>
    <w:rsid w:val="007E6736"/>
    <w:rsid w:val="007F0207"/>
    <w:rsid w:val="007F09D1"/>
    <w:rsid w:val="007F0DFF"/>
    <w:rsid w:val="007F13CB"/>
    <w:rsid w:val="007F5540"/>
    <w:rsid w:val="007F6A05"/>
    <w:rsid w:val="008003F8"/>
    <w:rsid w:val="00802ECA"/>
    <w:rsid w:val="0080373B"/>
    <w:rsid w:val="008047A2"/>
    <w:rsid w:val="00805635"/>
    <w:rsid w:val="00810FF4"/>
    <w:rsid w:val="00812474"/>
    <w:rsid w:val="008128C1"/>
    <w:rsid w:val="0081370A"/>
    <w:rsid w:val="008139BE"/>
    <w:rsid w:val="00813D54"/>
    <w:rsid w:val="00814087"/>
    <w:rsid w:val="008165F3"/>
    <w:rsid w:val="0082142A"/>
    <w:rsid w:val="0082213A"/>
    <w:rsid w:val="0082269E"/>
    <w:rsid w:val="008312D7"/>
    <w:rsid w:val="008314E0"/>
    <w:rsid w:val="0083199B"/>
    <w:rsid w:val="008319C0"/>
    <w:rsid w:val="00831F02"/>
    <w:rsid w:val="00831F81"/>
    <w:rsid w:val="00834244"/>
    <w:rsid w:val="0083451B"/>
    <w:rsid w:val="00834C92"/>
    <w:rsid w:val="0083588D"/>
    <w:rsid w:val="00836691"/>
    <w:rsid w:val="008373AF"/>
    <w:rsid w:val="00837FE0"/>
    <w:rsid w:val="008409D1"/>
    <w:rsid w:val="00844505"/>
    <w:rsid w:val="008470BE"/>
    <w:rsid w:val="00854862"/>
    <w:rsid w:val="00861971"/>
    <w:rsid w:val="0086432E"/>
    <w:rsid w:val="00865D23"/>
    <w:rsid w:val="00867201"/>
    <w:rsid w:val="00867795"/>
    <w:rsid w:val="008707A2"/>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15F6"/>
    <w:rsid w:val="00892D0D"/>
    <w:rsid w:val="00895934"/>
    <w:rsid w:val="008A0C9B"/>
    <w:rsid w:val="008A35B1"/>
    <w:rsid w:val="008A56EE"/>
    <w:rsid w:val="008A5CBC"/>
    <w:rsid w:val="008B3CBA"/>
    <w:rsid w:val="008B4627"/>
    <w:rsid w:val="008B4792"/>
    <w:rsid w:val="008B6926"/>
    <w:rsid w:val="008C692C"/>
    <w:rsid w:val="008C6C3C"/>
    <w:rsid w:val="008D1AA4"/>
    <w:rsid w:val="008D1FBB"/>
    <w:rsid w:val="008D27DB"/>
    <w:rsid w:val="008D4909"/>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3873"/>
    <w:rsid w:val="00924438"/>
    <w:rsid w:val="0092458B"/>
    <w:rsid w:val="00926D70"/>
    <w:rsid w:val="009279F1"/>
    <w:rsid w:val="00927F05"/>
    <w:rsid w:val="00931E40"/>
    <w:rsid w:val="009330B2"/>
    <w:rsid w:val="009345B1"/>
    <w:rsid w:val="00934A79"/>
    <w:rsid w:val="009364CE"/>
    <w:rsid w:val="00937950"/>
    <w:rsid w:val="00941339"/>
    <w:rsid w:val="00943824"/>
    <w:rsid w:val="00943911"/>
    <w:rsid w:val="00944C1B"/>
    <w:rsid w:val="0094563A"/>
    <w:rsid w:val="00945DC4"/>
    <w:rsid w:val="00946BD8"/>
    <w:rsid w:val="00947D12"/>
    <w:rsid w:val="009510DC"/>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0C8F"/>
    <w:rsid w:val="009B1564"/>
    <w:rsid w:val="009B5DCD"/>
    <w:rsid w:val="009C3484"/>
    <w:rsid w:val="009C4580"/>
    <w:rsid w:val="009C4F22"/>
    <w:rsid w:val="009C593F"/>
    <w:rsid w:val="009C7204"/>
    <w:rsid w:val="009C7670"/>
    <w:rsid w:val="009D0C0A"/>
    <w:rsid w:val="009D1C29"/>
    <w:rsid w:val="009D3E1D"/>
    <w:rsid w:val="009D454E"/>
    <w:rsid w:val="009D5795"/>
    <w:rsid w:val="009E0D4B"/>
    <w:rsid w:val="009E1D30"/>
    <w:rsid w:val="009E239A"/>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17E8A"/>
    <w:rsid w:val="00A226BC"/>
    <w:rsid w:val="00A22D2A"/>
    <w:rsid w:val="00A25A7E"/>
    <w:rsid w:val="00A27E16"/>
    <w:rsid w:val="00A41D59"/>
    <w:rsid w:val="00A50C8A"/>
    <w:rsid w:val="00A50E9F"/>
    <w:rsid w:val="00A51C55"/>
    <w:rsid w:val="00A53E5B"/>
    <w:rsid w:val="00A56756"/>
    <w:rsid w:val="00A612E0"/>
    <w:rsid w:val="00A67FC5"/>
    <w:rsid w:val="00A7092A"/>
    <w:rsid w:val="00A70F2A"/>
    <w:rsid w:val="00A75686"/>
    <w:rsid w:val="00A77ECF"/>
    <w:rsid w:val="00A81778"/>
    <w:rsid w:val="00A84360"/>
    <w:rsid w:val="00A84FD8"/>
    <w:rsid w:val="00A91C93"/>
    <w:rsid w:val="00A940B3"/>
    <w:rsid w:val="00AA1B71"/>
    <w:rsid w:val="00AA1F3C"/>
    <w:rsid w:val="00AA46F8"/>
    <w:rsid w:val="00AA5987"/>
    <w:rsid w:val="00AA5C36"/>
    <w:rsid w:val="00AA687D"/>
    <w:rsid w:val="00AA74D5"/>
    <w:rsid w:val="00AA7E9A"/>
    <w:rsid w:val="00AA7FEA"/>
    <w:rsid w:val="00AB0B26"/>
    <w:rsid w:val="00AB3DF6"/>
    <w:rsid w:val="00AB778A"/>
    <w:rsid w:val="00AC06C7"/>
    <w:rsid w:val="00AC2D29"/>
    <w:rsid w:val="00AC4230"/>
    <w:rsid w:val="00AC4838"/>
    <w:rsid w:val="00AC5794"/>
    <w:rsid w:val="00AD15F6"/>
    <w:rsid w:val="00AD2634"/>
    <w:rsid w:val="00AD5238"/>
    <w:rsid w:val="00AD5926"/>
    <w:rsid w:val="00AD5B1E"/>
    <w:rsid w:val="00AD6025"/>
    <w:rsid w:val="00AD7407"/>
    <w:rsid w:val="00AE037B"/>
    <w:rsid w:val="00AE15D8"/>
    <w:rsid w:val="00AE3061"/>
    <w:rsid w:val="00AE3070"/>
    <w:rsid w:val="00AE4E9E"/>
    <w:rsid w:val="00AE68F5"/>
    <w:rsid w:val="00AE764B"/>
    <w:rsid w:val="00AF19BB"/>
    <w:rsid w:val="00AF2655"/>
    <w:rsid w:val="00AF27E8"/>
    <w:rsid w:val="00AF2DC3"/>
    <w:rsid w:val="00AF3DEB"/>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2F7C"/>
    <w:rsid w:val="00B33C5F"/>
    <w:rsid w:val="00B348A1"/>
    <w:rsid w:val="00B35761"/>
    <w:rsid w:val="00B36B17"/>
    <w:rsid w:val="00B37DE6"/>
    <w:rsid w:val="00B40770"/>
    <w:rsid w:val="00B40831"/>
    <w:rsid w:val="00B4387F"/>
    <w:rsid w:val="00B45CA5"/>
    <w:rsid w:val="00B51053"/>
    <w:rsid w:val="00B51773"/>
    <w:rsid w:val="00B51A99"/>
    <w:rsid w:val="00B531BA"/>
    <w:rsid w:val="00B623ED"/>
    <w:rsid w:val="00B656CF"/>
    <w:rsid w:val="00B65E6C"/>
    <w:rsid w:val="00B66851"/>
    <w:rsid w:val="00B70CED"/>
    <w:rsid w:val="00B7172B"/>
    <w:rsid w:val="00B71E7D"/>
    <w:rsid w:val="00B72860"/>
    <w:rsid w:val="00B77F37"/>
    <w:rsid w:val="00B80008"/>
    <w:rsid w:val="00B824E3"/>
    <w:rsid w:val="00B83109"/>
    <w:rsid w:val="00B837B2"/>
    <w:rsid w:val="00B84476"/>
    <w:rsid w:val="00B85C15"/>
    <w:rsid w:val="00B86B0D"/>
    <w:rsid w:val="00B8703D"/>
    <w:rsid w:val="00B90134"/>
    <w:rsid w:val="00B91B25"/>
    <w:rsid w:val="00B9242C"/>
    <w:rsid w:val="00B94D11"/>
    <w:rsid w:val="00B96445"/>
    <w:rsid w:val="00B97411"/>
    <w:rsid w:val="00BA0995"/>
    <w:rsid w:val="00BA5583"/>
    <w:rsid w:val="00BA607E"/>
    <w:rsid w:val="00BA6BDD"/>
    <w:rsid w:val="00BB2249"/>
    <w:rsid w:val="00BB32E6"/>
    <w:rsid w:val="00BB349F"/>
    <w:rsid w:val="00BB4E31"/>
    <w:rsid w:val="00BB60C8"/>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25C9"/>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3720A"/>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1B82"/>
    <w:rsid w:val="00C825C8"/>
    <w:rsid w:val="00C83639"/>
    <w:rsid w:val="00C839FE"/>
    <w:rsid w:val="00C840A6"/>
    <w:rsid w:val="00C84437"/>
    <w:rsid w:val="00C848DA"/>
    <w:rsid w:val="00C86327"/>
    <w:rsid w:val="00C917D1"/>
    <w:rsid w:val="00C9299F"/>
    <w:rsid w:val="00C936A2"/>
    <w:rsid w:val="00C9425E"/>
    <w:rsid w:val="00C95CC8"/>
    <w:rsid w:val="00C96C09"/>
    <w:rsid w:val="00CA3D6D"/>
    <w:rsid w:val="00CA3EDF"/>
    <w:rsid w:val="00CA4C2D"/>
    <w:rsid w:val="00CA548D"/>
    <w:rsid w:val="00CA73A6"/>
    <w:rsid w:val="00CB122E"/>
    <w:rsid w:val="00CB2CDD"/>
    <w:rsid w:val="00CB33A4"/>
    <w:rsid w:val="00CB4768"/>
    <w:rsid w:val="00CB4F93"/>
    <w:rsid w:val="00CB572A"/>
    <w:rsid w:val="00CC044E"/>
    <w:rsid w:val="00CC53C8"/>
    <w:rsid w:val="00CD460E"/>
    <w:rsid w:val="00CD64A4"/>
    <w:rsid w:val="00CE229A"/>
    <w:rsid w:val="00CE3F1D"/>
    <w:rsid w:val="00CE3F6F"/>
    <w:rsid w:val="00CE6852"/>
    <w:rsid w:val="00CE6890"/>
    <w:rsid w:val="00CE68EE"/>
    <w:rsid w:val="00CE7D76"/>
    <w:rsid w:val="00CF35BF"/>
    <w:rsid w:val="00CF77C3"/>
    <w:rsid w:val="00D01076"/>
    <w:rsid w:val="00D03645"/>
    <w:rsid w:val="00D0465C"/>
    <w:rsid w:val="00D06D89"/>
    <w:rsid w:val="00D07D99"/>
    <w:rsid w:val="00D16997"/>
    <w:rsid w:val="00D16D4D"/>
    <w:rsid w:val="00D17367"/>
    <w:rsid w:val="00D215B5"/>
    <w:rsid w:val="00D223C5"/>
    <w:rsid w:val="00D23791"/>
    <w:rsid w:val="00D25745"/>
    <w:rsid w:val="00D26869"/>
    <w:rsid w:val="00D27D52"/>
    <w:rsid w:val="00D3072E"/>
    <w:rsid w:val="00D324AB"/>
    <w:rsid w:val="00D32ECF"/>
    <w:rsid w:val="00D34F03"/>
    <w:rsid w:val="00D4093A"/>
    <w:rsid w:val="00D42114"/>
    <w:rsid w:val="00D452D3"/>
    <w:rsid w:val="00D50B7A"/>
    <w:rsid w:val="00D51A1F"/>
    <w:rsid w:val="00D53C35"/>
    <w:rsid w:val="00D55C7B"/>
    <w:rsid w:val="00D60587"/>
    <w:rsid w:val="00D60632"/>
    <w:rsid w:val="00D60675"/>
    <w:rsid w:val="00D650B6"/>
    <w:rsid w:val="00D6516E"/>
    <w:rsid w:val="00D6527A"/>
    <w:rsid w:val="00D6747B"/>
    <w:rsid w:val="00D71D5E"/>
    <w:rsid w:val="00D7260A"/>
    <w:rsid w:val="00D736CE"/>
    <w:rsid w:val="00D73EAD"/>
    <w:rsid w:val="00D754BD"/>
    <w:rsid w:val="00D76A4E"/>
    <w:rsid w:val="00D76D14"/>
    <w:rsid w:val="00D76DA7"/>
    <w:rsid w:val="00D82699"/>
    <w:rsid w:val="00D83B0A"/>
    <w:rsid w:val="00D8587F"/>
    <w:rsid w:val="00D9067F"/>
    <w:rsid w:val="00D9120B"/>
    <w:rsid w:val="00D914D3"/>
    <w:rsid w:val="00D92101"/>
    <w:rsid w:val="00D9381D"/>
    <w:rsid w:val="00D953C5"/>
    <w:rsid w:val="00D971A1"/>
    <w:rsid w:val="00DA119C"/>
    <w:rsid w:val="00DA197A"/>
    <w:rsid w:val="00DA3071"/>
    <w:rsid w:val="00DA4093"/>
    <w:rsid w:val="00DA48E9"/>
    <w:rsid w:val="00DA53F8"/>
    <w:rsid w:val="00DA6AFD"/>
    <w:rsid w:val="00DA74E1"/>
    <w:rsid w:val="00DB156D"/>
    <w:rsid w:val="00DB24D3"/>
    <w:rsid w:val="00DB3684"/>
    <w:rsid w:val="00DB4544"/>
    <w:rsid w:val="00DB5C92"/>
    <w:rsid w:val="00DC067D"/>
    <w:rsid w:val="00DC08B4"/>
    <w:rsid w:val="00DC16C6"/>
    <w:rsid w:val="00DC4213"/>
    <w:rsid w:val="00DC4C6B"/>
    <w:rsid w:val="00DD1E79"/>
    <w:rsid w:val="00DD3C80"/>
    <w:rsid w:val="00DD6585"/>
    <w:rsid w:val="00DD6715"/>
    <w:rsid w:val="00DD7175"/>
    <w:rsid w:val="00DD770E"/>
    <w:rsid w:val="00DD7B51"/>
    <w:rsid w:val="00DE2921"/>
    <w:rsid w:val="00DE3D34"/>
    <w:rsid w:val="00DE50F1"/>
    <w:rsid w:val="00DE7B7E"/>
    <w:rsid w:val="00DF245B"/>
    <w:rsid w:val="00DF40E2"/>
    <w:rsid w:val="00DF4486"/>
    <w:rsid w:val="00DF5A23"/>
    <w:rsid w:val="00E01A3D"/>
    <w:rsid w:val="00E01D70"/>
    <w:rsid w:val="00E02891"/>
    <w:rsid w:val="00E038BC"/>
    <w:rsid w:val="00E04F8D"/>
    <w:rsid w:val="00E12E49"/>
    <w:rsid w:val="00E13C0F"/>
    <w:rsid w:val="00E14070"/>
    <w:rsid w:val="00E14D67"/>
    <w:rsid w:val="00E157E2"/>
    <w:rsid w:val="00E17ECD"/>
    <w:rsid w:val="00E20F22"/>
    <w:rsid w:val="00E23B70"/>
    <w:rsid w:val="00E25A4C"/>
    <w:rsid w:val="00E26775"/>
    <w:rsid w:val="00E26B80"/>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420A"/>
    <w:rsid w:val="00E6636F"/>
    <w:rsid w:val="00E6790B"/>
    <w:rsid w:val="00E67A50"/>
    <w:rsid w:val="00E716F7"/>
    <w:rsid w:val="00E71D0F"/>
    <w:rsid w:val="00E71E50"/>
    <w:rsid w:val="00E73099"/>
    <w:rsid w:val="00E739F0"/>
    <w:rsid w:val="00E7410C"/>
    <w:rsid w:val="00E74D46"/>
    <w:rsid w:val="00E754C6"/>
    <w:rsid w:val="00E7699C"/>
    <w:rsid w:val="00E77702"/>
    <w:rsid w:val="00E77958"/>
    <w:rsid w:val="00E81C24"/>
    <w:rsid w:val="00E84285"/>
    <w:rsid w:val="00E91D46"/>
    <w:rsid w:val="00E9233C"/>
    <w:rsid w:val="00E97AAD"/>
    <w:rsid w:val="00EA0E43"/>
    <w:rsid w:val="00EA3058"/>
    <w:rsid w:val="00EA4932"/>
    <w:rsid w:val="00EA5A70"/>
    <w:rsid w:val="00EA7416"/>
    <w:rsid w:val="00EB42EA"/>
    <w:rsid w:val="00EB456B"/>
    <w:rsid w:val="00EC23A7"/>
    <w:rsid w:val="00EC2857"/>
    <w:rsid w:val="00EC5CC3"/>
    <w:rsid w:val="00EC6734"/>
    <w:rsid w:val="00ED29DF"/>
    <w:rsid w:val="00ED32B4"/>
    <w:rsid w:val="00ED40C9"/>
    <w:rsid w:val="00ED4D98"/>
    <w:rsid w:val="00ED5FAA"/>
    <w:rsid w:val="00EE0986"/>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50D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4AE3"/>
    <w:rsid w:val="00F46771"/>
    <w:rsid w:val="00F50046"/>
    <w:rsid w:val="00F50C5B"/>
    <w:rsid w:val="00F51689"/>
    <w:rsid w:val="00F519F9"/>
    <w:rsid w:val="00F52147"/>
    <w:rsid w:val="00F53780"/>
    <w:rsid w:val="00F55077"/>
    <w:rsid w:val="00F5797C"/>
    <w:rsid w:val="00F613D9"/>
    <w:rsid w:val="00F61C49"/>
    <w:rsid w:val="00F647E4"/>
    <w:rsid w:val="00F652E7"/>
    <w:rsid w:val="00F673E9"/>
    <w:rsid w:val="00F704A4"/>
    <w:rsid w:val="00F72D6D"/>
    <w:rsid w:val="00F75731"/>
    <w:rsid w:val="00F8284B"/>
    <w:rsid w:val="00F82D4F"/>
    <w:rsid w:val="00F84B25"/>
    <w:rsid w:val="00F865CB"/>
    <w:rsid w:val="00F90678"/>
    <w:rsid w:val="00F91801"/>
    <w:rsid w:val="00F92AA9"/>
    <w:rsid w:val="00F92F51"/>
    <w:rsid w:val="00F9403B"/>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3864"/>
  <w15:docId w15:val="{A3B59474-21BF-4EF8-BEA3-05D364C8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table" w:customStyle="1" w:styleId="TabloKlavuzu5">
    <w:name w:val="Tablo Kılavuzu5"/>
    <w:basedOn w:val="NormalTablo"/>
    <w:next w:val="TabloKlavuzu"/>
    <w:uiPriority w:val="59"/>
    <w:rsid w:val="00803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92DD7F-C9D0-4624-B0E5-AF513917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10</Pages>
  <Words>2857</Words>
  <Characters>16289</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Arkeometri Uygulama ve Araştırma Merkezi</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Arkeometri Uygulama ve Araştırma Merkezi</dc:title>
  <dc:subject>2025</dc:subject>
  <dc:creator>Gülşen Mutlu</dc:creator>
  <cp:lastModifiedBy>user</cp:lastModifiedBy>
  <cp:revision>76</cp:revision>
  <dcterms:created xsi:type="dcterms:W3CDTF">2023-01-23T13:10:00Z</dcterms:created>
  <dcterms:modified xsi:type="dcterms:W3CDTF">2026-03-09T12:09:00Z</dcterms:modified>
</cp:coreProperties>
</file>