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693FF4" w:rsidRPr="00693FF4" w:rsidTr="00693FF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93FF4" w:rsidRPr="00693FF4">
              <w:trPr>
                <w:trHeight w:val="317"/>
                <w:jc w:val="center"/>
              </w:trPr>
              <w:tc>
                <w:tcPr>
                  <w:tcW w:w="2931" w:type="dxa"/>
                  <w:tcBorders>
                    <w:top w:val="nil"/>
                    <w:left w:val="nil"/>
                    <w:bottom w:val="single" w:sz="4" w:space="0" w:color="660066"/>
                    <w:right w:val="nil"/>
                  </w:tcBorders>
                  <w:vAlign w:val="center"/>
                  <w:hideMark/>
                </w:tcPr>
                <w:p w:rsidR="00693FF4" w:rsidRPr="00693FF4" w:rsidRDefault="00693FF4" w:rsidP="00693FF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93FF4">
                    <w:rPr>
                      <w:rFonts w:ascii="Arial" w:eastAsia="Times New Roman" w:hAnsi="Arial" w:cs="Arial"/>
                      <w:sz w:val="16"/>
                      <w:szCs w:val="16"/>
                      <w:lang w:eastAsia="tr-TR"/>
                    </w:rPr>
                    <w:t xml:space="preserve">18 Aralık </w:t>
                  </w:r>
                  <w:proofErr w:type="gramStart"/>
                  <w:r w:rsidRPr="00693FF4">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693FF4" w:rsidRPr="00693FF4" w:rsidRDefault="00693FF4" w:rsidP="00693FF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93FF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93FF4" w:rsidRPr="00693FF4" w:rsidRDefault="00693FF4" w:rsidP="00693FF4">
                  <w:pPr>
                    <w:spacing w:before="100" w:beforeAutospacing="1" w:after="100" w:afterAutospacing="1" w:line="240" w:lineRule="auto"/>
                    <w:jc w:val="right"/>
                    <w:rPr>
                      <w:rFonts w:ascii="Arial" w:eastAsia="Times New Roman" w:hAnsi="Arial" w:cs="Arial"/>
                      <w:sz w:val="16"/>
                      <w:szCs w:val="16"/>
                      <w:lang w:eastAsia="tr-TR"/>
                    </w:rPr>
                  </w:pPr>
                  <w:proofErr w:type="gramStart"/>
                  <w:r w:rsidRPr="00693FF4">
                    <w:rPr>
                      <w:rFonts w:ascii="Arial" w:eastAsia="Times New Roman" w:hAnsi="Arial" w:cs="Arial"/>
                      <w:sz w:val="16"/>
                      <w:szCs w:val="16"/>
                      <w:lang w:eastAsia="tr-TR"/>
                    </w:rPr>
                    <w:t>Sayı : 29209</w:t>
                  </w:r>
                  <w:proofErr w:type="gramEnd"/>
                </w:p>
              </w:tc>
            </w:tr>
            <w:tr w:rsidR="00693FF4" w:rsidRPr="00693FF4">
              <w:trPr>
                <w:trHeight w:val="480"/>
                <w:jc w:val="center"/>
              </w:trPr>
              <w:tc>
                <w:tcPr>
                  <w:tcW w:w="8789" w:type="dxa"/>
                  <w:gridSpan w:val="3"/>
                  <w:vAlign w:val="center"/>
                  <w:hideMark/>
                </w:tcPr>
                <w:p w:rsidR="00693FF4" w:rsidRPr="00693FF4" w:rsidRDefault="00693FF4" w:rsidP="00693FF4">
                  <w:pPr>
                    <w:spacing w:before="100" w:beforeAutospacing="1" w:after="100" w:afterAutospacing="1" w:line="240" w:lineRule="auto"/>
                    <w:jc w:val="center"/>
                    <w:rPr>
                      <w:rFonts w:ascii="Arial" w:eastAsia="Times New Roman" w:hAnsi="Arial" w:cs="Arial"/>
                      <w:b/>
                      <w:color w:val="000080"/>
                      <w:sz w:val="18"/>
                      <w:szCs w:val="18"/>
                      <w:lang w:eastAsia="tr-TR"/>
                    </w:rPr>
                  </w:pPr>
                  <w:r w:rsidRPr="00693FF4">
                    <w:rPr>
                      <w:rFonts w:ascii="Arial" w:eastAsia="Times New Roman" w:hAnsi="Arial" w:cs="Arial"/>
                      <w:b/>
                      <w:color w:val="000080"/>
                      <w:sz w:val="18"/>
                      <w:szCs w:val="18"/>
                      <w:lang w:eastAsia="tr-TR"/>
                    </w:rPr>
                    <w:t>YÖNETMELİK</w:t>
                  </w:r>
                </w:p>
              </w:tc>
            </w:tr>
            <w:tr w:rsidR="00693FF4" w:rsidRPr="00693FF4">
              <w:trPr>
                <w:trHeight w:val="480"/>
                <w:jc w:val="center"/>
              </w:trPr>
              <w:tc>
                <w:tcPr>
                  <w:tcW w:w="8789" w:type="dxa"/>
                  <w:gridSpan w:val="3"/>
                  <w:vAlign w:val="center"/>
                </w:tcPr>
                <w:p w:rsidR="00693FF4" w:rsidRPr="00693FF4" w:rsidRDefault="00693FF4" w:rsidP="00693FF4">
                  <w:pPr>
                    <w:tabs>
                      <w:tab w:val="left" w:pos="566"/>
                    </w:tabs>
                    <w:spacing w:after="0" w:line="240" w:lineRule="exact"/>
                    <w:ind w:firstLine="566"/>
                    <w:rPr>
                      <w:rFonts w:ascii="Times New Roman" w:eastAsia="ヒラギノ明朝 Pro W3" w:hAnsi="Times New Roman" w:cs="Times New Roman"/>
                      <w:sz w:val="18"/>
                      <w:szCs w:val="18"/>
                      <w:u w:val="single"/>
                    </w:rPr>
                  </w:pPr>
                  <w:r w:rsidRPr="00693FF4">
                    <w:rPr>
                      <w:rFonts w:ascii="Times New Roman" w:eastAsia="ヒラギノ明朝 Pro W3" w:hAnsi="Times New Roman" w:cs="Times New Roman"/>
                      <w:sz w:val="18"/>
                      <w:szCs w:val="18"/>
                      <w:u w:val="single"/>
                    </w:rPr>
                    <w:t>Boğaziçi Üniversitesinden:</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BOĞAZİÇİ ÜNİVERSİTESİ ENERJİ POLİTİKALARI UYGULAMA VE</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ARAŞTIRMA MERKEZİ YÖNETMELİĞİ</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BİRİNCİ BÖLÜM</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Amaç, Kapsam, Dayanak ve Tanımlar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Amaç</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1 –</w:t>
                  </w:r>
                  <w:r w:rsidRPr="00693FF4">
                    <w:rPr>
                      <w:rFonts w:ascii="Times New Roman" w:eastAsia="ヒラギノ明朝 Pro W3" w:hAnsi="Times New Roman" w:cs="Times New Roman"/>
                      <w:sz w:val="18"/>
                      <w:szCs w:val="18"/>
                    </w:rPr>
                    <w:t xml:space="preserve"> (1) Bu Yönetmeliğin amacı; Boğaziçi Üniversitesi Enerji Politikaları Uygulama ve Araştırma Merkezinin amaçlarına, faaliyet alanlarına, yönetim organlarına, yönetim organlarının görevlerine ve çalışma şekline ilişkin usul ve esasları düzenlemektir.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Kapsam</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 xml:space="preserve">MADDE 2 – </w:t>
                  </w:r>
                  <w:r w:rsidRPr="00693FF4">
                    <w:rPr>
                      <w:rFonts w:ascii="Times New Roman" w:eastAsia="ヒラギノ明朝 Pro W3" w:hAnsi="Times New Roman" w:cs="Times New Roman"/>
                      <w:sz w:val="18"/>
                      <w:szCs w:val="18"/>
                    </w:rPr>
                    <w:t>(1) Bu Yönetmelik; Boğaziçi Üniversitesi Enerji Politikaları Uygulama ve Araştırma Merkezinin amaçlarına, faaliyet alanlarına, yönetim organlarına, yönetim organlarının görevlerine ve çalışma şekline ilişkin hükümleri kapsar.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Dayanak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 xml:space="preserve">MADDE 3 – </w:t>
                  </w:r>
                  <w:r w:rsidRPr="00693FF4">
                    <w:rPr>
                      <w:rFonts w:ascii="Times New Roman" w:eastAsia="ヒラギノ明朝 Pro W3" w:hAnsi="Times New Roman" w:cs="Times New Roman"/>
                      <w:sz w:val="18"/>
                      <w:szCs w:val="18"/>
                    </w:rPr>
                    <w:t xml:space="preserve">(1) Bu Yönetmelik; </w:t>
                  </w:r>
                  <w:proofErr w:type="gramStart"/>
                  <w:r w:rsidRPr="00693FF4">
                    <w:rPr>
                      <w:rFonts w:ascii="Times New Roman" w:eastAsia="ヒラギノ明朝 Pro W3" w:hAnsi="Times New Roman" w:cs="Times New Roman"/>
                      <w:sz w:val="18"/>
                      <w:szCs w:val="18"/>
                    </w:rPr>
                    <w:t>4/11/1981</w:t>
                  </w:r>
                  <w:proofErr w:type="gramEnd"/>
                  <w:r w:rsidRPr="00693FF4">
                    <w:rPr>
                      <w:rFonts w:ascii="Times New Roman" w:eastAsia="ヒラギノ明朝 Pro W3" w:hAnsi="Times New Roman" w:cs="Times New Roman"/>
                      <w:sz w:val="18"/>
                      <w:szCs w:val="18"/>
                    </w:rPr>
                    <w:t xml:space="preserve"> tarihli ve 2547 sayılı Yükseköğretim Kanununun 7 </w:t>
                  </w:r>
                  <w:proofErr w:type="spellStart"/>
                  <w:r w:rsidRPr="00693FF4">
                    <w:rPr>
                      <w:rFonts w:ascii="Times New Roman" w:eastAsia="ヒラギノ明朝 Pro W3" w:hAnsi="Times New Roman" w:cs="Times New Roman"/>
                      <w:sz w:val="18"/>
                      <w:szCs w:val="18"/>
                    </w:rPr>
                    <w:t>nci</w:t>
                  </w:r>
                  <w:proofErr w:type="spellEnd"/>
                  <w:r w:rsidRPr="00693FF4">
                    <w:rPr>
                      <w:rFonts w:ascii="Times New Roman" w:eastAsia="ヒラギノ明朝 Pro W3" w:hAnsi="Times New Roman" w:cs="Times New Roman"/>
                      <w:sz w:val="18"/>
                      <w:szCs w:val="18"/>
                    </w:rPr>
                    <w:t xml:space="preserve"> maddesinin birinci fıkrasının (d) bendinin (2) numaralı alt bendi ile 14 üncü maddesine dayanılarak hazırlanmıştır.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Tanımlar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4 –</w:t>
                  </w:r>
                  <w:r w:rsidRPr="00693FF4">
                    <w:rPr>
                      <w:rFonts w:ascii="Times New Roman" w:eastAsia="ヒラギノ明朝 Pro W3" w:hAnsi="Times New Roman" w:cs="Times New Roman"/>
                      <w:sz w:val="18"/>
                      <w:szCs w:val="18"/>
                    </w:rPr>
                    <w:t xml:space="preserve"> (1) Bu Yönetmelikte geçen;</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a) Merkez: Boğaziçi Üniversitesi Enerji Politikaları Uygulama ve Araştırma Merkezini,</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b) Müdür: Merkezin Müdürünü,</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c) Rektör: Boğaziçi Üniversitesi Rektörünü,</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ç) Üniversite: Boğaziçi Üniversitesini,</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d) Yönetim Kurulu: Merkezin Yönetim Kurulunu,</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93FF4">
                    <w:rPr>
                      <w:rFonts w:ascii="Times New Roman" w:eastAsia="ヒラギノ明朝 Pro W3" w:hAnsi="Times New Roman" w:cs="Times New Roman"/>
                      <w:sz w:val="18"/>
                      <w:szCs w:val="18"/>
                    </w:rPr>
                    <w:t>ifade</w:t>
                  </w:r>
                  <w:proofErr w:type="gramEnd"/>
                  <w:r w:rsidRPr="00693FF4">
                    <w:rPr>
                      <w:rFonts w:ascii="Times New Roman" w:eastAsia="ヒラギノ明朝 Pro W3" w:hAnsi="Times New Roman" w:cs="Times New Roman"/>
                      <w:sz w:val="18"/>
                      <w:szCs w:val="18"/>
                    </w:rPr>
                    <w:t xml:space="preserve"> eder.</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İKİNCİ BÖLÜM</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Merkezin Amaçları ve Faaliyet Alanları</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Merkezin amaçları</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 xml:space="preserve">MADDE 5 – </w:t>
                  </w:r>
                  <w:r w:rsidRPr="00693FF4">
                    <w:rPr>
                      <w:rFonts w:ascii="Times New Roman" w:eastAsia="ヒラギノ明朝 Pro W3" w:hAnsi="Times New Roman" w:cs="Times New Roman"/>
                      <w:sz w:val="18"/>
                      <w:szCs w:val="18"/>
                    </w:rPr>
                    <w:t>(1) Merkezin amaçları şunlardır: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a) Enerji politikaları, uygulamaları ve sonuçları üzerine araştırmalar yapmak ve yayınlamak.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 xml:space="preserve">b) Enerjinin verimli, akılcı, temiz, ucuz, güvenilir üretimi, iletimi, dağıtımı ve tüketimi ile ilgili araştırma, teknoloji, tecrübe ve politikaların </w:t>
                  </w:r>
                  <w:proofErr w:type="spellStart"/>
                  <w:r w:rsidRPr="00693FF4">
                    <w:rPr>
                      <w:rFonts w:ascii="Times New Roman" w:eastAsia="ヒラギノ明朝 Pro W3" w:hAnsi="Times New Roman" w:cs="Times New Roman"/>
                      <w:sz w:val="18"/>
                      <w:szCs w:val="18"/>
                    </w:rPr>
                    <w:t>disiplinlerarası</w:t>
                  </w:r>
                  <w:proofErr w:type="spellEnd"/>
                  <w:r w:rsidRPr="00693FF4">
                    <w:rPr>
                      <w:rFonts w:ascii="Times New Roman" w:eastAsia="ヒラギノ明朝 Pro W3" w:hAnsi="Times New Roman" w:cs="Times New Roman"/>
                      <w:sz w:val="18"/>
                      <w:szCs w:val="18"/>
                    </w:rPr>
                    <w:t xml:space="preserve"> tartışılabileceği platformlar oluşturmak; bu konularda görüş oluşturma, eğitim, tanıtım ve bilgi aktarma faaliyetlerini gerçekleştirmek.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Merkezin faaliyet alanları</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 xml:space="preserve">MADDE 6 – </w:t>
                  </w:r>
                  <w:r w:rsidRPr="00693FF4">
                    <w:rPr>
                      <w:rFonts w:ascii="Times New Roman" w:eastAsia="ヒラギノ明朝 Pro W3" w:hAnsi="Times New Roman" w:cs="Times New Roman"/>
                      <w:sz w:val="18"/>
                      <w:szCs w:val="18"/>
                    </w:rPr>
                    <w:t>(1) Merkez amaçlarını gerçekleştirmek üzere aşağıdaki faaliyetlerde bulunur: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a) Araştırma, inceleme, uygulama ve geliştirme çalışmaları ve projeleri yapmak.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 xml:space="preserve">b) </w:t>
                  </w:r>
                  <w:proofErr w:type="spellStart"/>
                  <w:r w:rsidRPr="00693FF4">
                    <w:rPr>
                      <w:rFonts w:ascii="Times New Roman" w:eastAsia="ヒラギノ明朝 Pro W3" w:hAnsi="Times New Roman" w:cs="Times New Roman"/>
                      <w:sz w:val="18"/>
                      <w:szCs w:val="18"/>
                    </w:rPr>
                    <w:t>Yaşamboyu</w:t>
                  </w:r>
                  <w:proofErr w:type="spellEnd"/>
                  <w:r w:rsidRPr="00693FF4">
                    <w:rPr>
                      <w:rFonts w:ascii="Times New Roman" w:eastAsia="ヒラギノ明朝 Pro W3" w:hAnsi="Times New Roman" w:cs="Times New Roman"/>
                      <w:sz w:val="18"/>
                      <w:szCs w:val="18"/>
                    </w:rPr>
                    <w:t xml:space="preserve"> Eğitim Merkezi (BÜYEM) ve diğer birimler ile işbirliği ve ortak çalışmalar yapmak.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c) Ulusal ve uluslararası kuruluşlar ile işbirliği yapmak, ortak çalışmaları özendirmek, organize etmek, konferans, kongre ve bilimsel toplantılar düzenlemek ve yayın yapmak.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ç) Kamu ve özel kuruluşlara danışmanlık hizmeti vermek.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d) Araştırma ve uygulama çalışmaları sonunda konu ile ilgili bilimsel yayın yapmak.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e) Rektörlük tarafından verilecek diğer görevleri yapmak.</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ÜÇÜNCÜ BÖLÜM</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Merkezin Organları ve Görevleri</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Merkezin organları</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 xml:space="preserve">MADDE 7 – </w:t>
                  </w:r>
                  <w:r w:rsidRPr="00693FF4">
                    <w:rPr>
                      <w:rFonts w:ascii="Times New Roman" w:eastAsia="ヒラギノ明朝 Pro W3" w:hAnsi="Times New Roman" w:cs="Times New Roman"/>
                      <w:sz w:val="18"/>
                      <w:szCs w:val="18"/>
                    </w:rPr>
                    <w:t>(1) Merkezin organları şunlardır: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a) Müdür.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b) Yönetim Kurulu.</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Müdür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8 –</w:t>
                  </w:r>
                  <w:r w:rsidRPr="00693FF4">
                    <w:rPr>
                      <w:rFonts w:ascii="Times New Roman" w:eastAsia="ヒラギノ明朝 Pro W3" w:hAnsi="Times New Roman" w:cs="Times New Roman"/>
                      <w:sz w:val="18"/>
                      <w:szCs w:val="18"/>
                    </w:rPr>
                    <w:t xml:space="preserve"> (1) Müdür; Merkez amaçları konusunda araştırma, uygulama ve eğitim deneyimi bulunan Üniversitenin kadrolu öğretim üyeleri arasından Rektör tarafından üç yıl süre için görevlendirilir. Süresi biten Müdür tekrar görevlendirilebilir. Göreve vekâlet dört aydan fazla sürerse yeni bir Müdür görevlendirilir. Müdür, Merkezin çalışmalarının düzenli olarak yürütülmesi ve geliştirilmesinden Rektöre karşı sorumludur.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 xml:space="preserve">(2) Yönetim Kurulunda bulunan Üniversitenin kadrolu öğretim üyeleri arasından Müdürün önereceği, en çok iki kişi müdür yardımcısı olarak Rektör tarafından üç yıl süre ile görevlendirilir. Müdür yardımcıları, Müdürün </w:t>
                  </w:r>
                  <w:r w:rsidRPr="00693FF4">
                    <w:rPr>
                      <w:rFonts w:ascii="Times New Roman" w:eastAsia="ヒラギノ明朝 Pro W3" w:hAnsi="Times New Roman" w:cs="Times New Roman"/>
                      <w:sz w:val="18"/>
                      <w:szCs w:val="18"/>
                    </w:rPr>
                    <w:lastRenderedPageBreak/>
                    <w:t>kendilerine vereceği görevleri yapar. Müdür, görevi başında bulunmadığı zaman yardımcılarından birisini vekil bırakır.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Müdürün görevleri</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9 –</w:t>
                  </w:r>
                  <w:r w:rsidRPr="00693FF4">
                    <w:rPr>
                      <w:rFonts w:ascii="Times New Roman" w:eastAsia="ヒラギノ明朝 Pro W3" w:hAnsi="Times New Roman" w:cs="Times New Roman"/>
                      <w:sz w:val="18"/>
                      <w:szCs w:val="18"/>
                    </w:rPr>
                    <w:t xml:space="preserve"> (1) Müdürün görevleri şunlardır: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a) Merkezi temsil etmek.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b) Merkezin çalışmalarının düzenli yürütülmesini ve geliştirilmesini sağlamak.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c) Yönetim Kurulunu toplantıya çağırmak, bu toplantıların gündemini hazırlamak ve toplantılara başkanlık etmek, Yönetim Kurulu kararlarını uygulamak.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ç) Merkezin yıllık faaliyet raporunu ve bir sonraki yıla ait yıllık çalışma programını hazırlamak ve Yönetim Kurulunun onayı ile Rektörlüğe sunmak.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Yönetim Kurulu</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10 –</w:t>
                  </w:r>
                  <w:r w:rsidRPr="00693FF4">
                    <w:rPr>
                      <w:rFonts w:ascii="Times New Roman" w:eastAsia="ヒラギノ明朝 Pro W3" w:hAnsi="Times New Roman" w:cs="Times New Roman"/>
                      <w:sz w:val="18"/>
                      <w:szCs w:val="18"/>
                    </w:rPr>
                    <w:t xml:space="preserve"> (1) Yönetim Kurulu; Müdür ile Üniversite öğretim üyeleri arasından Rektör tarafından üç yıl süreyle görevlendirilen dört kişi olmak üzere toplam beş kişiden oluşur. Süresi biten üyeler yeniden görevlendirilebilir.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(2) Yönetim Kurulu en az üç ayda bir salt çoğunlukla toplanır ve kararları oy çokluğuyla alır.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Yönetim Kurulunun görevleri</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 xml:space="preserve">MADDE 11 – </w:t>
                  </w:r>
                  <w:r w:rsidRPr="00693FF4">
                    <w:rPr>
                      <w:rFonts w:ascii="Times New Roman" w:eastAsia="ヒラギノ明朝 Pro W3" w:hAnsi="Times New Roman" w:cs="Times New Roman"/>
                      <w:sz w:val="18"/>
                      <w:szCs w:val="18"/>
                    </w:rPr>
                    <w:t>(1) Yönetim Kurulunun görevleri şunlardır: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a) Amaçları doğrultusunda Merkezin çalışma ve yönetimi ile ilgili konularda karar almak.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b) Merkezin yıllık faaliyet raporunu ve yıllık çalışma programını görüşerek son şeklini vermek ve Rektörlüğe sunmak.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c) Araştırma, yayım ve diğer çalışma alanlarına yardımcı konularda karar almak.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ç) Merkezin çalışmaları için gerekli bilimsel çalışma gruplarını ve komisyonları kurmak.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sz w:val="18"/>
                      <w:szCs w:val="18"/>
                    </w:rPr>
                    <w:t>d) Merkezin uzun vadeli bilimsel ve idari plan ve programını hazırlamak.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Merkez birimleri ve proje grupları</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12 –</w:t>
                  </w:r>
                  <w:r w:rsidRPr="00693FF4">
                    <w:rPr>
                      <w:rFonts w:ascii="Times New Roman" w:eastAsia="ヒラギノ明朝 Pro W3" w:hAnsi="Times New Roman" w:cs="Times New Roman"/>
                      <w:sz w:val="18"/>
                      <w:szCs w:val="18"/>
                    </w:rPr>
                    <w:t xml:space="preserve"> (1) Araştırma, geliştirme ve eğitim çalışmalarını iş bölümü çerçevesinde yürütmek üzere Müdürün önerisi ve Yönetim Kurulu kararıyla Merkezin çalışma alanlarında Merkez birimleri ve proje grupları kurulabilir. Merkez birimleri ve proje gruplarının kuruluş ve çalışmaları Yönetim Kurulunca belirlenen esaslar uyarınca yürütülür.</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DÖRDÜNCÜ BÖLÜM</w:t>
                  </w:r>
                </w:p>
                <w:p w:rsidR="00693FF4" w:rsidRPr="00693FF4" w:rsidRDefault="00693FF4" w:rsidP="00693FF4">
                  <w:pPr>
                    <w:spacing w:after="0" w:line="240" w:lineRule="exact"/>
                    <w:jc w:val="center"/>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Çeşitli ve Son Hükümler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Personel ihtiyacı</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13 –</w:t>
                  </w:r>
                  <w:r w:rsidRPr="00693FF4">
                    <w:rPr>
                      <w:rFonts w:ascii="Times New Roman" w:eastAsia="ヒラギノ明朝 Pro W3" w:hAnsi="Times New Roman" w:cs="Times New Roman"/>
                      <w:sz w:val="18"/>
                      <w:szCs w:val="18"/>
                    </w:rPr>
                    <w:t xml:space="preserve"> (1) Merkezin akademik, teknik ve idari personel ihtiyacı, Müdürün önerisi üzerine 2547 sayılı Kanunun 13 üncü maddesi uyarınca, Rektör tarafından görevlendirilecek personel tarafından karşılanır.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Yönetmelikte hüküm bulunmayan haller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14 –</w:t>
                  </w:r>
                  <w:r w:rsidRPr="00693FF4">
                    <w:rPr>
                      <w:rFonts w:ascii="Times New Roman" w:eastAsia="ヒラギノ明朝 Pro W3" w:hAnsi="Times New Roman" w:cs="Times New Roman"/>
                      <w:sz w:val="18"/>
                      <w:szCs w:val="18"/>
                    </w:rPr>
                    <w:t xml:space="preserve"> (1) Bu Yönetmelikte hüküm bulunmayan hallerde, ilgili diğer mevzuat hükümleri ile Senato kararları uygulanır.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Yürürlük</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15 –</w:t>
                  </w:r>
                  <w:r w:rsidRPr="00693FF4">
                    <w:rPr>
                      <w:rFonts w:ascii="Times New Roman" w:eastAsia="ヒラギノ明朝 Pro W3" w:hAnsi="Times New Roman" w:cs="Times New Roman"/>
                      <w:sz w:val="18"/>
                      <w:szCs w:val="18"/>
                    </w:rPr>
                    <w:t xml:space="preserve"> (1) Bu Yönetmelik yayımı tarihinde yürürlüğe girer.</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b/>
                      <w:sz w:val="18"/>
                      <w:szCs w:val="18"/>
                    </w:rPr>
                  </w:pPr>
                  <w:r w:rsidRPr="00693FF4">
                    <w:rPr>
                      <w:rFonts w:ascii="Times New Roman" w:eastAsia="ヒラギノ明朝 Pro W3" w:hAnsi="Times New Roman" w:cs="Times New Roman"/>
                      <w:b/>
                      <w:sz w:val="18"/>
                      <w:szCs w:val="18"/>
                    </w:rPr>
                    <w:t>Yürütme</w:t>
                  </w:r>
                </w:p>
                <w:p w:rsidR="00693FF4" w:rsidRPr="00693FF4" w:rsidRDefault="00693FF4" w:rsidP="00693FF4">
                  <w:pPr>
                    <w:tabs>
                      <w:tab w:val="left" w:pos="566"/>
                    </w:tabs>
                    <w:spacing w:after="0" w:line="240" w:lineRule="exact"/>
                    <w:ind w:firstLine="566"/>
                    <w:jc w:val="both"/>
                    <w:rPr>
                      <w:rFonts w:ascii="Times New Roman" w:eastAsia="ヒラギノ明朝 Pro W3" w:hAnsi="Times New Roman" w:cs="Times New Roman"/>
                      <w:sz w:val="18"/>
                      <w:szCs w:val="18"/>
                    </w:rPr>
                  </w:pPr>
                  <w:r w:rsidRPr="00693FF4">
                    <w:rPr>
                      <w:rFonts w:ascii="Times New Roman" w:eastAsia="ヒラギノ明朝 Pro W3" w:hAnsi="Times New Roman" w:cs="Times New Roman"/>
                      <w:b/>
                      <w:sz w:val="18"/>
                      <w:szCs w:val="18"/>
                    </w:rPr>
                    <w:t>MADDE 16 –</w:t>
                  </w:r>
                  <w:r w:rsidRPr="00693FF4">
                    <w:rPr>
                      <w:rFonts w:ascii="Times New Roman" w:eastAsia="ヒラギノ明朝 Pro W3" w:hAnsi="Times New Roman" w:cs="Times New Roman"/>
                      <w:sz w:val="18"/>
                      <w:szCs w:val="18"/>
                    </w:rPr>
                    <w:t xml:space="preserve"> (1) Bu Yönetmelik hükümlerini Boğaziçi Üniversitesi Rektörü yürütür.</w:t>
                  </w:r>
                </w:p>
                <w:p w:rsidR="00693FF4" w:rsidRPr="00693FF4" w:rsidRDefault="00693FF4" w:rsidP="00693FF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93FF4" w:rsidRPr="00693FF4" w:rsidRDefault="00693FF4" w:rsidP="00693FF4">
            <w:pPr>
              <w:spacing w:after="0" w:line="240" w:lineRule="auto"/>
              <w:jc w:val="center"/>
              <w:rPr>
                <w:rFonts w:ascii="Times New Roman" w:eastAsia="Times New Roman" w:hAnsi="Times New Roman" w:cs="Times New Roman"/>
                <w:sz w:val="20"/>
                <w:szCs w:val="20"/>
                <w:lang w:eastAsia="tr-TR"/>
              </w:rPr>
            </w:pPr>
          </w:p>
        </w:tc>
      </w:tr>
    </w:tbl>
    <w:p w:rsidR="00693FF4" w:rsidRPr="00693FF4" w:rsidRDefault="00693FF4" w:rsidP="00693FF4">
      <w:pPr>
        <w:spacing w:after="0" w:line="240" w:lineRule="auto"/>
        <w:jc w:val="center"/>
        <w:rPr>
          <w:rFonts w:ascii="Times New Roman" w:eastAsia="Times New Roman" w:hAnsi="Times New Roman" w:cs="Times New Roman"/>
          <w:sz w:val="24"/>
          <w:szCs w:val="24"/>
          <w:lang w:eastAsia="tr-TR"/>
        </w:rPr>
      </w:pPr>
    </w:p>
    <w:p w:rsidR="00A30131" w:rsidRDefault="00A30131">
      <w:bookmarkStart w:id="0" w:name="_GoBack"/>
      <w:bookmarkEnd w:id="0"/>
    </w:p>
    <w:sectPr w:rsidR="00A30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F4"/>
    <w:rsid w:val="00693FF4"/>
    <w:rsid w:val="00A301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93F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693FF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93FF4"/>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93FF4"/>
    <w:pPr>
      <w:tabs>
        <w:tab w:val="left" w:pos="566"/>
      </w:tabs>
      <w:spacing w:after="0" w:line="240" w:lineRule="auto"/>
    </w:pPr>
    <w:rPr>
      <w:rFonts w:ascii="Times New Roman" w:eastAsia="ヒラギノ明朝 Pro W3" w:hAnsi="Times"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93F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693FF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93FF4"/>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93FF4"/>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427505">
      <w:bodyDiv w:val="1"/>
      <w:marLeft w:val="0"/>
      <w:marRight w:val="0"/>
      <w:marTop w:val="0"/>
      <w:marBottom w:val="0"/>
      <w:divBdr>
        <w:top w:val="none" w:sz="0" w:space="0" w:color="auto"/>
        <w:left w:val="none" w:sz="0" w:space="0" w:color="auto"/>
        <w:bottom w:val="none" w:sz="0" w:space="0" w:color="auto"/>
        <w:right w:val="none" w:sz="0" w:space="0" w:color="auto"/>
      </w:divBdr>
      <w:divsChild>
        <w:div w:id="1139224445">
          <w:marLeft w:val="0"/>
          <w:marRight w:val="0"/>
          <w:marTop w:val="0"/>
          <w:marBottom w:val="0"/>
          <w:divBdr>
            <w:top w:val="none" w:sz="0" w:space="0" w:color="auto"/>
            <w:left w:val="none" w:sz="0" w:space="0" w:color="auto"/>
            <w:bottom w:val="none" w:sz="0" w:space="0" w:color="auto"/>
            <w:right w:val="none" w:sz="0" w:space="0" w:color="auto"/>
          </w:divBdr>
          <w:divsChild>
            <w:div w:id="2097558113">
              <w:marLeft w:val="0"/>
              <w:marRight w:val="0"/>
              <w:marTop w:val="0"/>
              <w:marBottom w:val="0"/>
              <w:divBdr>
                <w:top w:val="none" w:sz="0" w:space="0" w:color="auto"/>
                <w:left w:val="none" w:sz="0" w:space="0" w:color="auto"/>
                <w:bottom w:val="none" w:sz="0" w:space="0" w:color="auto"/>
                <w:right w:val="none" w:sz="0" w:space="0" w:color="auto"/>
              </w:divBdr>
              <w:divsChild>
                <w:div w:id="19162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4771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1</cp:revision>
  <dcterms:created xsi:type="dcterms:W3CDTF">2014-12-18T08:43:00Z</dcterms:created>
  <dcterms:modified xsi:type="dcterms:W3CDTF">2014-12-18T08:44:00Z</dcterms:modified>
</cp:coreProperties>
</file>